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BB2B" w14:textId="5CB83E66" w:rsidR="000672EF" w:rsidRPr="008D2401" w:rsidRDefault="00DF44A6" w:rsidP="000672EF">
      <w:pPr>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Ogłoszenie o planowanym </w:t>
      </w:r>
      <w:r>
        <w:rPr>
          <w:rFonts w:ascii="Times New Roman" w:hAnsi="Times New Roman" w:cs="Times New Roman"/>
          <w:b/>
          <w:bCs/>
          <w:sz w:val="28"/>
          <w:szCs w:val="28"/>
        </w:rPr>
        <w:t>zamówieniu</w:t>
      </w:r>
    </w:p>
    <w:bookmarkEnd w:id="0"/>
    <w:p w14:paraId="0B80361E" w14:textId="77777777" w:rsidR="000672EF" w:rsidRPr="008D2401" w:rsidRDefault="003F2250" w:rsidP="000672EF">
      <w:pPr>
        <w:ind w:left="360"/>
        <w:rPr>
          <w:rFonts w:ascii="Times New Roman" w:hAnsi="Times New Roman" w:cs="Times New Roman"/>
          <w:sz w:val="24"/>
          <w:szCs w:val="24"/>
        </w:rPr>
      </w:pPr>
      <w:r w:rsidRPr="008D2401">
        <w:rPr>
          <w:rFonts w:ascii="Times New Roman" w:hAnsi="Times New Roman" w:cs="Times New Roman"/>
          <w:b/>
          <w:sz w:val="24"/>
          <w:szCs w:val="24"/>
        </w:rPr>
        <w:t>Opis przedmiotu zamówienia:</w:t>
      </w:r>
    </w:p>
    <w:p w14:paraId="50A8DA0A" w14:textId="40F0038C" w:rsidR="00B34243" w:rsidRPr="008D2401" w:rsidRDefault="000672EF" w:rsidP="00B34243">
      <w:pPr>
        <w:numPr>
          <w:ilvl w:val="0"/>
          <w:numId w:val="5"/>
        </w:numPr>
        <w:spacing w:after="0" w:line="276" w:lineRule="auto"/>
        <w:jc w:val="both"/>
        <w:rPr>
          <w:rFonts w:ascii="Times New Roman" w:hAnsi="Times New Roman" w:cs="Times New Roman"/>
          <w:sz w:val="24"/>
          <w:szCs w:val="24"/>
        </w:rPr>
      </w:pPr>
      <w:r w:rsidRPr="008D2401">
        <w:rPr>
          <w:rFonts w:ascii="Times New Roman" w:hAnsi="Times New Roman" w:cs="Times New Roman"/>
          <w:sz w:val="24"/>
          <w:szCs w:val="24"/>
        </w:rPr>
        <w:t xml:space="preserve">Przedmiotem zamówienia jest </w:t>
      </w:r>
      <w:r w:rsidR="00B34243" w:rsidRPr="008D2401">
        <w:rPr>
          <w:rFonts w:ascii="Times New Roman" w:hAnsi="Times New Roman" w:cs="Times New Roman"/>
          <w:sz w:val="24"/>
          <w:szCs w:val="24"/>
        </w:rPr>
        <w:t>organizacja webinariów</w:t>
      </w:r>
      <w:r w:rsidRPr="008D2401">
        <w:rPr>
          <w:rFonts w:ascii="Times New Roman" w:hAnsi="Times New Roman" w:cs="Times New Roman"/>
          <w:sz w:val="24"/>
          <w:szCs w:val="24"/>
        </w:rPr>
        <w:t xml:space="preserve"> na teren</w:t>
      </w:r>
      <w:r w:rsidR="00B34243" w:rsidRPr="008D2401">
        <w:rPr>
          <w:rFonts w:ascii="Times New Roman" w:hAnsi="Times New Roman" w:cs="Times New Roman"/>
          <w:sz w:val="24"/>
          <w:szCs w:val="24"/>
        </w:rPr>
        <w:t xml:space="preserve">ie Warszawy w miejscu wskazanym przez </w:t>
      </w:r>
      <w:r w:rsidR="00F956E6">
        <w:rPr>
          <w:rFonts w:ascii="Times New Roman" w:hAnsi="Times New Roman" w:cs="Times New Roman"/>
          <w:sz w:val="24"/>
          <w:szCs w:val="24"/>
        </w:rPr>
        <w:t>Z</w:t>
      </w:r>
      <w:r w:rsidR="00B34243" w:rsidRPr="008D2401">
        <w:rPr>
          <w:rFonts w:ascii="Times New Roman" w:hAnsi="Times New Roman" w:cs="Times New Roman"/>
          <w:sz w:val="24"/>
          <w:szCs w:val="24"/>
        </w:rPr>
        <w:t>amawiającego</w:t>
      </w:r>
      <w:r w:rsidRPr="008D2401">
        <w:rPr>
          <w:rFonts w:ascii="Times New Roman" w:hAnsi="Times New Roman" w:cs="Times New Roman"/>
          <w:sz w:val="24"/>
          <w:szCs w:val="24"/>
        </w:rPr>
        <w:t>.</w:t>
      </w:r>
      <w:r w:rsidR="00B34243" w:rsidRPr="008D2401">
        <w:rPr>
          <w:rFonts w:ascii="Times New Roman" w:hAnsi="Times New Roman" w:cs="Times New Roman"/>
          <w:sz w:val="24"/>
          <w:szCs w:val="24"/>
        </w:rPr>
        <w:t xml:space="preserve"> </w:t>
      </w:r>
    </w:p>
    <w:p w14:paraId="78C193DC" w14:textId="77777777" w:rsidR="00B34243" w:rsidRPr="008D2401" w:rsidRDefault="00B34243" w:rsidP="00B34243">
      <w:pPr>
        <w:spacing w:after="0" w:line="276" w:lineRule="auto"/>
        <w:ind w:left="360"/>
        <w:jc w:val="both"/>
        <w:rPr>
          <w:rFonts w:ascii="Times New Roman" w:hAnsi="Times New Roman" w:cs="Times New Roman"/>
          <w:sz w:val="24"/>
          <w:szCs w:val="24"/>
        </w:rPr>
      </w:pPr>
    </w:p>
    <w:p w14:paraId="35526425" w14:textId="4BBE0A5D" w:rsidR="003F2250" w:rsidRPr="008D2401" w:rsidRDefault="000672EF"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b/>
          <w:sz w:val="24"/>
          <w:szCs w:val="24"/>
        </w:rPr>
        <w:t>Zamawiający szacuje, że liczba usług w okresie od dnia zawarcia umowy do 3</w:t>
      </w:r>
      <w:r w:rsidR="007E6932">
        <w:rPr>
          <w:rFonts w:ascii="Times New Roman" w:hAnsi="Times New Roman" w:cs="Times New Roman"/>
          <w:b/>
          <w:sz w:val="24"/>
          <w:szCs w:val="24"/>
        </w:rPr>
        <w:t>0 kwietnia</w:t>
      </w:r>
      <w:r w:rsidRPr="008D2401">
        <w:rPr>
          <w:rFonts w:ascii="Times New Roman" w:hAnsi="Times New Roman" w:cs="Times New Roman"/>
          <w:b/>
          <w:sz w:val="24"/>
          <w:szCs w:val="24"/>
        </w:rPr>
        <w:t xml:space="preserve"> 2021 r. </w:t>
      </w:r>
      <w:r w:rsidR="00C71372">
        <w:rPr>
          <w:rFonts w:ascii="Times New Roman" w:hAnsi="Times New Roman" w:cs="Times New Roman"/>
          <w:b/>
          <w:sz w:val="24"/>
          <w:szCs w:val="24"/>
        </w:rPr>
        <w:t>nie przekroczy 1</w:t>
      </w:r>
      <w:r w:rsidR="005928A3">
        <w:rPr>
          <w:rFonts w:ascii="Times New Roman" w:hAnsi="Times New Roman" w:cs="Times New Roman"/>
          <w:b/>
          <w:sz w:val="24"/>
          <w:szCs w:val="24"/>
        </w:rPr>
        <w:t xml:space="preserve">6 </w:t>
      </w:r>
      <w:r w:rsidR="00C71372">
        <w:rPr>
          <w:rFonts w:ascii="Times New Roman" w:hAnsi="Times New Roman" w:cs="Times New Roman"/>
          <w:b/>
          <w:sz w:val="24"/>
          <w:szCs w:val="24"/>
        </w:rPr>
        <w:t>webinariów.</w:t>
      </w:r>
    </w:p>
    <w:p w14:paraId="34D8B7C8" w14:textId="77777777" w:rsidR="003F2250" w:rsidRPr="008D2401" w:rsidRDefault="003F2250" w:rsidP="003F2250">
      <w:pPr>
        <w:spacing w:after="0" w:line="276" w:lineRule="auto"/>
        <w:ind w:left="360"/>
        <w:jc w:val="both"/>
        <w:rPr>
          <w:rFonts w:ascii="Times New Roman" w:hAnsi="Times New Roman" w:cs="Times New Roman"/>
          <w:sz w:val="24"/>
          <w:szCs w:val="24"/>
        </w:rPr>
      </w:pPr>
    </w:p>
    <w:p w14:paraId="790F5369" w14:textId="77777777"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Wytyczne techniczne:</w:t>
      </w:r>
    </w:p>
    <w:p w14:paraId="5BFFE897" w14:textId="77777777" w:rsidR="0099712E" w:rsidRPr="008D2401" w:rsidRDefault="00095407" w:rsidP="0099712E">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streaming realizowanego webinarium w czasie rzeczywistym w jakości HD</w:t>
      </w:r>
      <w:r w:rsidR="0099712E" w:rsidRPr="008D2401">
        <w:rPr>
          <w:rFonts w:ascii="Times New Roman" w:hAnsi="Times New Roman" w:cs="Times New Roman"/>
          <w:sz w:val="24"/>
          <w:szCs w:val="24"/>
        </w:rPr>
        <w:t>,</w:t>
      </w:r>
    </w:p>
    <w:p w14:paraId="038AD608" w14:textId="77777777" w:rsidR="0099712E" w:rsidRPr="008D2401" w:rsidRDefault="0099712E" w:rsidP="0099712E">
      <w:pPr>
        <w:spacing w:after="0" w:line="276" w:lineRule="auto"/>
        <w:ind w:left="360"/>
        <w:jc w:val="both"/>
        <w:rPr>
          <w:rFonts w:ascii="Times New Roman" w:hAnsi="Times New Roman" w:cs="Times New Roman"/>
        </w:rPr>
      </w:pPr>
      <w:r w:rsidRPr="008D2401">
        <w:rPr>
          <w:rFonts w:ascii="Times New Roman" w:hAnsi="Times New Roman" w:cs="Times New Roman"/>
          <w:sz w:val="24"/>
          <w:szCs w:val="24"/>
        </w:rPr>
        <w:t xml:space="preserve">- możliwość wyboru </w:t>
      </w:r>
      <w:r w:rsidR="008D2401">
        <w:rPr>
          <w:rFonts w:ascii="Times New Roman" w:hAnsi="Times New Roman" w:cs="Times New Roman"/>
          <w:sz w:val="24"/>
          <w:szCs w:val="24"/>
        </w:rPr>
        <w:t>(</w:t>
      </w:r>
      <w:r w:rsidRPr="008D2401">
        <w:rPr>
          <w:rFonts w:ascii="Times New Roman" w:hAnsi="Times New Roman" w:cs="Times New Roman"/>
          <w:sz w:val="24"/>
          <w:szCs w:val="24"/>
        </w:rPr>
        <w:t>dla uczestników</w:t>
      </w:r>
      <w:r w:rsidR="008D2401">
        <w:rPr>
          <w:rFonts w:ascii="Times New Roman" w:hAnsi="Times New Roman" w:cs="Times New Roman"/>
          <w:sz w:val="24"/>
          <w:szCs w:val="24"/>
        </w:rPr>
        <w:t xml:space="preserve">) </w:t>
      </w:r>
      <w:r w:rsidRPr="008D2401">
        <w:rPr>
          <w:rFonts w:ascii="Times New Roman" w:hAnsi="Times New Roman" w:cs="Times New Roman"/>
          <w:sz w:val="24"/>
          <w:szCs w:val="24"/>
        </w:rPr>
        <w:t xml:space="preserve"> jakości oglądanego materiału (360p, 480p, 720p, 1080p)</w:t>
      </w:r>
    </w:p>
    <w:p w14:paraId="004196F9" w14:textId="77777777"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dostęp do moderowanego czata online dla wszystkich uczestników spotkania, </w:t>
      </w:r>
    </w:p>
    <w:p w14:paraId="6F498C6C" w14:textId="1D99DF65" w:rsidR="00095407" w:rsidRPr="008D2401" w:rsidRDefault="00095407"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możliwość realizacji zamkniętych webinariów z systemem do logowania (dostęp na podstawie przyznawanych </w:t>
      </w:r>
      <w:proofErr w:type="spellStart"/>
      <w:r w:rsidRPr="008D2401">
        <w:rPr>
          <w:rFonts w:ascii="Times New Roman" w:hAnsi="Times New Roman" w:cs="Times New Roman"/>
          <w:sz w:val="24"/>
          <w:szCs w:val="24"/>
        </w:rPr>
        <w:t>tokenó</w:t>
      </w:r>
      <w:r w:rsidR="0099712E" w:rsidRPr="008D2401">
        <w:rPr>
          <w:rFonts w:ascii="Times New Roman" w:hAnsi="Times New Roman" w:cs="Times New Roman"/>
          <w:sz w:val="24"/>
          <w:szCs w:val="24"/>
        </w:rPr>
        <w:t>w</w:t>
      </w:r>
      <w:proofErr w:type="spellEnd"/>
      <w:r w:rsidR="0099712E" w:rsidRPr="008D2401">
        <w:rPr>
          <w:rFonts w:ascii="Times New Roman" w:hAnsi="Times New Roman" w:cs="Times New Roman"/>
          <w:sz w:val="24"/>
          <w:szCs w:val="24"/>
        </w:rPr>
        <w:t>),</w:t>
      </w:r>
    </w:p>
    <w:p w14:paraId="739CED64" w14:textId="77777777"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możliwość wyświetlania prezentacji i in</w:t>
      </w:r>
      <w:r w:rsidR="0099712E" w:rsidRPr="008D2401">
        <w:rPr>
          <w:rFonts w:ascii="Times New Roman" w:hAnsi="Times New Roman" w:cs="Times New Roman"/>
          <w:sz w:val="24"/>
          <w:szCs w:val="24"/>
        </w:rPr>
        <w:t xml:space="preserve">nych materiałów multimedialnych, </w:t>
      </w:r>
    </w:p>
    <w:p w14:paraId="664BFB9A" w14:textId="77777777"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minimum dwie kamery oraz obsługa techniczna spotkania,</w:t>
      </w:r>
      <w:r w:rsidR="008D2401">
        <w:rPr>
          <w:rFonts w:ascii="Times New Roman" w:hAnsi="Times New Roman" w:cs="Times New Roman"/>
          <w:sz w:val="24"/>
          <w:szCs w:val="24"/>
        </w:rPr>
        <w:t xml:space="preserve"> a jeżeli realizacja będzie tego wymagać możliwość dodania trzeciej kamery,</w:t>
      </w:r>
    </w:p>
    <w:p w14:paraId="0C0040E7" w14:textId="77777777"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instalacja przenośnego </w:t>
      </w:r>
      <w:proofErr w:type="spellStart"/>
      <w:r w:rsidRPr="008D2401">
        <w:rPr>
          <w:rFonts w:ascii="Times New Roman" w:hAnsi="Times New Roman" w:cs="Times New Roman"/>
          <w:sz w:val="24"/>
          <w:szCs w:val="24"/>
        </w:rPr>
        <w:t>greenboksa</w:t>
      </w:r>
      <w:proofErr w:type="spellEnd"/>
      <w:r w:rsidRPr="008D2401">
        <w:rPr>
          <w:rFonts w:ascii="Times New Roman" w:hAnsi="Times New Roman" w:cs="Times New Roman"/>
          <w:sz w:val="24"/>
          <w:szCs w:val="24"/>
        </w:rPr>
        <w:t xml:space="preserve">, </w:t>
      </w:r>
    </w:p>
    <w:p w14:paraId="00C69E5C" w14:textId="52C4E1F5"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zapis off-</w:t>
      </w:r>
      <w:proofErr w:type="spellStart"/>
      <w:r w:rsidRPr="008D2401">
        <w:rPr>
          <w:rFonts w:ascii="Times New Roman" w:hAnsi="Times New Roman" w:cs="Times New Roman"/>
          <w:sz w:val="24"/>
          <w:szCs w:val="24"/>
        </w:rPr>
        <w:t>line</w:t>
      </w:r>
      <w:proofErr w:type="spellEnd"/>
      <w:r w:rsidRPr="008D2401">
        <w:rPr>
          <w:rFonts w:ascii="Times New Roman" w:hAnsi="Times New Roman" w:cs="Times New Roman"/>
          <w:sz w:val="24"/>
          <w:szCs w:val="24"/>
        </w:rPr>
        <w:t xml:space="preserve"> dostępny dla </w:t>
      </w:r>
      <w:r w:rsidR="00F956E6">
        <w:rPr>
          <w:rFonts w:ascii="Times New Roman" w:hAnsi="Times New Roman" w:cs="Times New Roman"/>
          <w:sz w:val="24"/>
          <w:szCs w:val="24"/>
        </w:rPr>
        <w:t>Z</w:t>
      </w:r>
      <w:r w:rsidRPr="008D2401">
        <w:rPr>
          <w:rFonts w:ascii="Times New Roman" w:hAnsi="Times New Roman" w:cs="Times New Roman"/>
          <w:sz w:val="24"/>
          <w:szCs w:val="24"/>
        </w:rPr>
        <w:t>mawiającego po zakończeniu webinari</w:t>
      </w:r>
      <w:r w:rsidR="00455DF0">
        <w:rPr>
          <w:rFonts w:ascii="Times New Roman" w:hAnsi="Times New Roman" w:cs="Times New Roman"/>
          <w:sz w:val="24"/>
          <w:szCs w:val="24"/>
        </w:rPr>
        <w:t>u</w:t>
      </w:r>
      <w:r w:rsidRPr="008D2401">
        <w:rPr>
          <w:rFonts w:ascii="Times New Roman" w:hAnsi="Times New Roman" w:cs="Times New Roman"/>
          <w:sz w:val="24"/>
          <w:szCs w:val="24"/>
        </w:rPr>
        <w:t>m</w:t>
      </w:r>
    </w:p>
    <w:p w14:paraId="5EB5EAFD" w14:textId="52431B6B" w:rsidR="003F2250" w:rsidRPr="008D2401" w:rsidRDefault="003F2250" w:rsidP="003F2250">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liczba uczestników szkolenia </w:t>
      </w:r>
      <w:r w:rsidR="00991E83">
        <w:rPr>
          <w:rFonts w:ascii="Times New Roman" w:hAnsi="Times New Roman" w:cs="Times New Roman"/>
          <w:sz w:val="24"/>
          <w:szCs w:val="24"/>
        </w:rPr>
        <w:t>–</w:t>
      </w:r>
      <w:r w:rsidRPr="008D2401">
        <w:rPr>
          <w:rFonts w:ascii="Times New Roman" w:hAnsi="Times New Roman" w:cs="Times New Roman"/>
          <w:sz w:val="24"/>
          <w:szCs w:val="24"/>
        </w:rPr>
        <w:t xml:space="preserve"> </w:t>
      </w:r>
      <w:r w:rsidR="00CB6955">
        <w:rPr>
          <w:rFonts w:ascii="Times New Roman" w:hAnsi="Times New Roman" w:cs="Times New Roman"/>
          <w:sz w:val="24"/>
          <w:szCs w:val="24"/>
        </w:rPr>
        <w:t>z wariantami do</w:t>
      </w:r>
      <w:r w:rsidR="00090124">
        <w:rPr>
          <w:rFonts w:ascii="Times New Roman" w:hAnsi="Times New Roman" w:cs="Times New Roman"/>
          <w:sz w:val="24"/>
          <w:szCs w:val="24"/>
        </w:rPr>
        <w:t xml:space="preserve"> 50, 100, 250 i 500 uczestników) </w:t>
      </w:r>
      <w:r w:rsidRPr="008D2401">
        <w:rPr>
          <w:rFonts w:ascii="Times New Roman" w:hAnsi="Times New Roman" w:cs="Times New Roman"/>
          <w:sz w:val="24"/>
          <w:szCs w:val="24"/>
        </w:rPr>
        <w:t xml:space="preserve">. </w:t>
      </w:r>
    </w:p>
    <w:p w14:paraId="0404D544" w14:textId="77777777" w:rsidR="003F2250" w:rsidRPr="008D2401" w:rsidRDefault="003F2250" w:rsidP="0099712E">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w:t>
      </w:r>
      <w:proofErr w:type="spellStart"/>
      <w:r w:rsidRPr="008D2401">
        <w:rPr>
          <w:rFonts w:ascii="Times New Roman" w:hAnsi="Times New Roman" w:cs="Times New Roman"/>
          <w:sz w:val="24"/>
          <w:szCs w:val="24"/>
        </w:rPr>
        <w:t>mikroporty</w:t>
      </w:r>
      <w:proofErr w:type="spellEnd"/>
      <w:r w:rsidRPr="008D2401">
        <w:rPr>
          <w:rFonts w:ascii="Times New Roman" w:hAnsi="Times New Roman" w:cs="Times New Roman"/>
          <w:sz w:val="24"/>
          <w:szCs w:val="24"/>
        </w:rPr>
        <w:t xml:space="preserve"> lub niez</w:t>
      </w:r>
      <w:r w:rsidR="00095407" w:rsidRPr="008D2401">
        <w:rPr>
          <w:rFonts w:ascii="Times New Roman" w:hAnsi="Times New Roman" w:cs="Times New Roman"/>
          <w:sz w:val="24"/>
          <w:szCs w:val="24"/>
        </w:rPr>
        <w:t>będne do realizacji webinarium nagłośnienie,</w:t>
      </w:r>
      <w:r w:rsidR="0099712E" w:rsidRPr="008D2401">
        <w:rPr>
          <w:rFonts w:ascii="Times New Roman" w:hAnsi="Times New Roman" w:cs="Times New Roman"/>
          <w:sz w:val="24"/>
          <w:szCs w:val="24"/>
        </w:rPr>
        <w:t xml:space="preserve"> </w:t>
      </w:r>
    </w:p>
    <w:p w14:paraId="4876391D" w14:textId="77777777" w:rsidR="0099712E" w:rsidRPr="008D2401" w:rsidRDefault="0099712E" w:rsidP="0099712E">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xml:space="preserve">- dedykowana do realizacji webinariów strona internetowa, </w:t>
      </w:r>
    </w:p>
    <w:p w14:paraId="50767597" w14:textId="33378B03" w:rsidR="00827E5B" w:rsidRPr="008D2401" w:rsidRDefault="0099712E" w:rsidP="0099712E">
      <w:pPr>
        <w:spacing w:after="0" w:line="276" w:lineRule="auto"/>
        <w:ind w:left="360"/>
        <w:jc w:val="both"/>
        <w:rPr>
          <w:rFonts w:ascii="Times New Roman" w:hAnsi="Times New Roman" w:cs="Times New Roman"/>
          <w:sz w:val="24"/>
          <w:szCs w:val="24"/>
        </w:rPr>
      </w:pPr>
      <w:r w:rsidRPr="008D2401">
        <w:rPr>
          <w:rFonts w:ascii="Times New Roman" w:hAnsi="Times New Roman" w:cs="Times New Roman"/>
          <w:sz w:val="24"/>
          <w:szCs w:val="24"/>
        </w:rPr>
        <w:t>- statystyki oglądalności</w:t>
      </w:r>
      <w:r w:rsidR="00827E5B">
        <w:rPr>
          <w:rFonts w:ascii="Times New Roman" w:hAnsi="Times New Roman" w:cs="Times New Roman"/>
          <w:sz w:val="24"/>
          <w:szCs w:val="24"/>
        </w:rPr>
        <w:t xml:space="preserve"> oraz możliwość identyfikacji uczestników webinarium</w:t>
      </w:r>
    </w:p>
    <w:p w14:paraId="34CD3B98" w14:textId="77777777" w:rsidR="0099712E" w:rsidRPr="008D2401" w:rsidRDefault="0099712E" w:rsidP="0099712E">
      <w:pPr>
        <w:spacing w:after="0" w:line="276" w:lineRule="auto"/>
        <w:ind w:left="360"/>
        <w:jc w:val="both"/>
        <w:rPr>
          <w:rFonts w:ascii="Times New Roman" w:hAnsi="Times New Roman" w:cs="Times New Roman"/>
          <w:sz w:val="24"/>
          <w:szCs w:val="24"/>
        </w:rPr>
      </w:pPr>
    </w:p>
    <w:p w14:paraId="407414DA" w14:textId="77777777" w:rsidR="0099712E" w:rsidRDefault="0099712E" w:rsidP="0099712E">
      <w:pPr>
        <w:spacing w:line="276" w:lineRule="auto"/>
        <w:jc w:val="both"/>
        <w:rPr>
          <w:rFonts w:ascii="Times New Roman" w:hAnsi="Times New Roman" w:cs="Times New Roman"/>
          <w:sz w:val="24"/>
        </w:rPr>
      </w:pPr>
      <w:r w:rsidRPr="008D2401">
        <w:rPr>
          <w:rFonts w:ascii="Times New Roman" w:hAnsi="Times New Roman" w:cs="Times New Roman"/>
          <w:sz w:val="24"/>
        </w:rPr>
        <w:t xml:space="preserve">Zamawiający zobowiązuje się do zapewnienia miejsca, w którym zostanie przeprowadzone webinarium oraz dostęp do </w:t>
      </w:r>
      <w:r w:rsidR="00957233" w:rsidRPr="008D2401">
        <w:rPr>
          <w:rFonts w:ascii="Times New Roman" w:hAnsi="Times New Roman" w:cs="Times New Roman"/>
          <w:sz w:val="24"/>
        </w:rPr>
        <w:t>Internetu</w:t>
      </w:r>
      <w:r w:rsidRPr="008D2401">
        <w:rPr>
          <w:rFonts w:ascii="Times New Roman" w:hAnsi="Times New Roman" w:cs="Times New Roman"/>
          <w:sz w:val="24"/>
        </w:rPr>
        <w:t xml:space="preserve"> pozwalającego na realizację wydarzeń. Maksymalny czas trwania webinarium to 8 godzin. </w:t>
      </w:r>
    </w:p>
    <w:p w14:paraId="4050D8D8" w14:textId="77777777" w:rsidR="008D2401" w:rsidRDefault="008D2401" w:rsidP="0099712E">
      <w:pPr>
        <w:spacing w:line="276" w:lineRule="auto"/>
        <w:jc w:val="both"/>
        <w:rPr>
          <w:rFonts w:ascii="Times New Roman" w:hAnsi="Times New Roman" w:cs="Times New Roman"/>
          <w:sz w:val="24"/>
        </w:rPr>
      </w:pPr>
    </w:p>
    <w:p w14:paraId="789BB4A7" w14:textId="77777777" w:rsidR="008D2401" w:rsidRDefault="008D2401" w:rsidP="0099712E">
      <w:pPr>
        <w:spacing w:line="276" w:lineRule="auto"/>
        <w:jc w:val="both"/>
        <w:rPr>
          <w:rFonts w:ascii="Times New Roman" w:hAnsi="Times New Roman" w:cs="Times New Roman"/>
          <w:sz w:val="24"/>
        </w:rPr>
      </w:pPr>
    </w:p>
    <w:p w14:paraId="086E50E0" w14:textId="77777777" w:rsidR="008D2401" w:rsidRPr="008D2401" w:rsidRDefault="008D2401" w:rsidP="0099712E">
      <w:pPr>
        <w:spacing w:line="276" w:lineRule="auto"/>
        <w:jc w:val="both"/>
        <w:rPr>
          <w:rFonts w:ascii="Times New Roman" w:hAnsi="Times New Roman" w:cs="Times New Roman"/>
          <w:sz w:val="24"/>
        </w:rPr>
      </w:pPr>
    </w:p>
    <w:p w14:paraId="0B214B90" w14:textId="77777777" w:rsidR="003F2250" w:rsidRPr="008D2401" w:rsidRDefault="003F2250" w:rsidP="003F2250">
      <w:pPr>
        <w:pStyle w:val="Akapitzlist"/>
        <w:spacing w:line="276" w:lineRule="auto"/>
        <w:ind w:left="567"/>
        <w:jc w:val="both"/>
        <w:rPr>
          <w:rFonts w:ascii="Times New Roman" w:hAnsi="Times New Roman"/>
        </w:rPr>
      </w:pPr>
    </w:p>
    <w:p w14:paraId="175C90E8" w14:textId="77777777" w:rsidR="003F2250" w:rsidRPr="008D2401" w:rsidRDefault="003F2250" w:rsidP="003F2250">
      <w:pPr>
        <w:pStyle w:val="Akapitzlist"/>
        <w:spacing w:line="276" w:lineRule="auto"/>
        <w:ind w:left="567"/>
        <w:jc w:val="both"/>
        <w:rPr>
          <w:rFonts w:ascii="Times New Roman" w:hAnsi="Times New Roman"/>
        </w:rPr>
      </w:pPr>
    </w:p>
    <w:p w14:paraId="552FD398" w14:textId="54A0603C" w:rsidR="00362978" w:rsidRPr="008D2401" w:rsidRDefault="003F2250" w:rsidP="00BF1ACE">
      <w:pPr>
        <w:pStyle w:val="Akapitzlist"/>
        <w:numPr>
          <w:ilvl w:val="0"/>
          <w:numId w:val="28"/>
        </w:numPr>
        <w:spacing w:line="276" w:lineRule="auto"/>
        <w:contextualSpacing/>
        <w:jc w:val="both"/>
        <w:rPr>
          <w:rFonts w:ascii="Times New Roman" w:hAnsi="Times New Roman"/>
        </w:rPr>
      </w:pPr>
      <w:r w:rsidRPr="008D2401">
        <w:rPr>
          <w:rFonts w:ascii="Times New Roman" w:hAnsi="Times New Roman"/>
          <w:b/>
        </w:rPr>
        <w:lastRenderedPageBreak/>
        <w:t xml:space="preserve">Termin realizacji:  </w:t>
      </w:r>
      <w:r w:rsidR="00957233" w:rsidRPr="008D2401">
        <w:rPr>
          <w:rFonts w:ascii="Times New Roman" w:hAnsi="Times New Roman"/>
        </w:rPr>
        <w:t xml:space="preserve">webinaria będą organizowane </w:t>
      </w:r>
      <w:r w:rsidR="004C001C" w:rsidRPr="008D2401">
        <w:rPr>
          <w:rFonts w:ascii="Times New Roman" w:hAnsi="Times New Roman"/>
        </w:rPr>
        <w:t>na podstawie zgłoszeń</w:t>
      </w:r>
      <w:r w:rsidR="00362978" w:rsidRPr="008D2401">
        <w:rPr>
          <w:rFonts w:ascii="Times New Roman" w:hAnsi="Times New Roman"/>
        </w:rPr>
        <w:t xml:space="preserve"> wysyłanych przez </w:t>
      </w:r>
      <w:r w:rsidR="009C2A97">
        <w:rPr>
          <w:rFonts w:ascii="Times New Roman" w:hAnsi="Times New Roman"/>
        </w:rPr>
        <w:t>Zamawiającego</w:t>
      </w:r>
      <w:r w:rsidR="009C2A97" w:rsidRPr="008D2401">
        <w:rPr>
          <w:rFonts w:ascii="Times New Roman" w:hAnsi="Times New Roman"/>
        </w:rPr>
        <w:t xml:space="preserve"> </w:t>
      </w:r>
      <w:r w:rsidR="00362978" w:rsidRPr="008D2401">
        <w:rPr>
          <w:rFonts w:ascii="Times New Roman" w:hAnsi="Times New Roman"/>
        </w:rPr>
        <w:t xml:space="preserve">w terminie nie krótszym niż 14 dni przed wskazaną datą realizacji webinarium. </w:t>
      </w:r>
    </w:p>
    <w:p w14:paraId="26D55AB7" w14:textId="6B367FFA" w:rsidR="00957233" w:rsidRPr="008D2401" w:rsidRDefault="00957233" w:rsidP="00957233">
      <w:pPr>
        <w:spacing w:line="276" w:lineRule="auto"/>
        <w:contextualSpacing/>
        <w:jc w:val="both"/>
        <w:rPr>
          <w:rFonts w:ascii="Times New Roman" w:hAnsi="Times New Roman" w:cs="Times New Roman"/>
        </w:rPr>
      </w:pPr>
    </w:p>
    <w:p w14:paraId="6205F8EB" w14:textId="06EC1B01" w:rsidR="008D2401" w:rsidRPr="008D2401" w:rsidRDefault="003F2250" w:rsidP="00BA5682">
      <w:pPr>
        <w:pStyle w:val="Akapitzlist"/>
        <w:numPr>
          <w:ilvl w:val="0"/>
          <w:numId w:val="28"/>
        </w:numPr>
        <w:spacing w:line="276" w:lineRule="auto"/>
        <w:contextualSpacing/>
        <w:jc w:val="both"/>
        <w:rPr>
          <w:rFonts w:ascii="Times New Roman" w:hAnsi="Times New Roman"/>
          <w:b/>
        </w:rPr>
      </w:pPr>
      <w:r w:rsidRPr="008D2401">
        <w:rPr>
          <w:rFonts w:ascii="Times New Roman" w:hAnsi="Times New Roman"/>
          <w:b/>
        </w:rPr>
        <w:t xml:space="preserve">Termin i forma składania ofert: </w:t>
      </w:r>
      <w:r w:rsidRPr="008D2401">
        <w:rPr>
          <w:rFonts w:ascii="Times New Roman" w:hAnsi="Times New Roman"/>
        </w:rPr>
        <w:t xml:space="preserve">wypełniony formularz oferty </w:t>
      </w:r>
      <w:r w:rsidR="00362978" w:rsidRPr="008D2401">
        <w:rPr>
          <w:rFonts w:ascii="Times New Roman" w:hAnsi="Times New Roman"/>
        </w:rPr>
        <w:t>należy przesłać w terminie do</w:t>
      </w:r>
      <w:r w:rsidR="005928A3">
        <w:rPr>
          <w:rFonts w:ascii="Times New Roman" w:hAnsi="Times New Roman"/>
        </w:rPr>
        <w:t xml:space="preserve"> </w:t>
      </w:r>
      <w:r w:rsidR="00E924C5">
        <w:rPr>
          <w:rFonts w:ascii="Times New Roman" w:hAnsi="Times New Roman"/>
        </w:rPr>
        <w:t>6</w:t>
      </w:r>
      <w:r w:rsidR="0042143F">
        <w:rPr>
          <w:rFonts w:ascii="Times New Roman" w:hAnsi="Times New Roman"/>
        </w:rPr>
        <w:t xml:space="preserve"> </w:t>
      </w:r>
      <w:r w:rsidR="005928A3">
        <w:rPr>
          <w:rFonts w:ascii="Times New Roman" w:hAnsi="Times New Roman"/>
        </w:rPr>
        <w:t>maja</w:t>
      </w:r>
      <w:r w:rsidR="0079624B" w:rsidRPr="008D2401">
        <w:rPr>
          <w:rFonts w:ascii="Times New Roman" w:hAnsi="Times New Roman"/>
        </w:rPr>
        <w:t xml:space="preserve"> </w:t>
      </w:r>
      <w:r w:rsidRPr="008D2401">
        <w:rPr>
          <w:rFonts w:ascii="Times New Roman" w:hAnsi="Times New Roman"/>
        </w:rPr>
        <w:t xml:space="preserve">2020  r.  na adres e-mail: </w:t>
      </w:r>
      <w:hyperlink r:id="rId7" w:history="1">
        <w:r w:rsidRPr="008D2401">
          <w:rPr>
            <w:rStyle w:val="Hipercze"/>
            <w:rFonts w:ascii="Times New Roman" w:hAnsi="Times New Roman"/>
          </w:rPr>
          <w:t>dks@opi.org.pl</w:t>
        </w:r>
      </w:hyperlink>
      <w:r w:rsidR="008D2401">
        <w:rPr>
          <w:rStyle w:val="Hipercze"/>
          <w:rFonts w:ascii="Times New Roman" w:hAnsi="Times New Roman"/>
        </w:rPr>
        <w:br/>
      </w:r>
    </w:p>
    <w:p w14:paraId="1A2B326E" w14:textId="1972142A" w:rsidR="003F2250" w:rsidRPr="008D2401" w:rsidRDefault="003F2250" w:rsidP="008D2401">
      <w:pPr>
        <w:pStyle w:val="Akapitzlist"/>
        <w:numPr>
          <w:ilvl w:val="0"/>
          <w:numId w:val="28"/>
        </w:numPr>
        <w:spacing w:line="276" w:lineRule="auto"/>
        <w:contextualSpacing/>
        <w:jc w:val="both"/>
        <w:rPr>
          <w:rFonts w:ascii="Times New Roman" w:hAnsi="Times New Roman"/>
          <w:b/>
        </w:rPr>
      </w:pPr>
      <w:r w:rsidRPr="008D2401">
        <w:rPr>
          <w:rFonts w:ascii="Times New Roman" w:hAnsi="Times New Roman"/>
          <w:b/>
        </w:rPr>
        <w:t>Kryteria oceny ofert:</w:t>
      </w:r>
      <w:r w:rsidR="00090124">
        <w:rPr>
          <w:rFonts w:ascii="Times New Roman" w:hAnsi="Times New Roman"/>
          <w:b/>
        </w:rPr>
        <w:t xml:space="preserve"> </w:t>
      </w:r>
    </w:p>
    <w:p w14:paraId="610DC26A" w14:textId="1CB19783" w:rsidR="00E33C14" w:rsidRDefault="00362978" w:rsidP="00BE69CE">
      <w:pPr>
        <w:pStyle w:val="Akapitzlist"/>
        <w:numPr>
          <w:ilvl w:val="0"/>
          <w:numId w:val="23"/>
        </w:numPr>
        <w:spacing w:line="276" w:lineRule="auto"/>
        <w:contextualSpacing/>
        <w:jc w:val="both"/>
        <w:rPr>
          <w:rFonts w:ascii="Times New Roman" w:hAnsi="Times New Roman"/>
        </w:rPr>
      </w:pPr>
      <w:r w:rsidRPr="008D2401">
        <w:rPr>
          <w:rFonts w:ascii="Times New Roman" w:hAnsi="Times New Roman"/>
          <w:b/>
        </w:rPr>
        <w:t>70</w:t>
      </w:r>
      <w:r w:rsidR="003F2250" w:rsidRPr="008D2401">
        <w:rPr>
          <w:rFonts w:ascii="Times New Roman" w:hAnsi="Times New Roman"/>
          <w:b/>
        </w:rPr>
        <w:t xml:space="preserve">% </w:t>
      </w:r>
      <w:r w:rsidR="003F2250" w:rsidRPr="008D2401">
        <w:rPr>
          <w:rFonts w:ascii="Times New Roman" w:hAnsi="Times New Roman"/>
        </w:rPr>
        <w:t>cena brutto</w:t>
      </w:r>
      <w:r w:rsidR="00090124">
        <w:rPr>
          <w:rFonts w:ascii="Times New Roman" w:hAnsi="Times New Roman"/>
        </w:rPr>
        <w:t xml:space="preserve"> obliczona jako - cena webinarium realizowanego </w:t>
      </w:r>
      <w:r w:rsidR="00CB6955">
        <w:rPr>
          <w:rFonts w:ascii="Times New Roman" w:hAnsi="Times New Roman"/>
        </w:rPr>
        <w:t>do</w:t>
      </w:r>
      <w:r w:rsidR="00090124">
        <w:rPr>
          <w:rFonts w:ascii="Times New Roman" w:hAnsi="Times New Roman"/>
        </w:rPr>
        <w:t xml:space="preserve"> 50 uczestników + cena webin</w:t>
      </w:r>
      <w:r w:rsidR="001F6658">
        <w:rPr>
          <w:rFonts w:ascii="Times New Roman" w:hAnsi="Times New Roman"/>
        </w:rPr>
        <w:t>a</w:t>
      </w:r>
      <w:r w:rsidR="00090124">
        <w:rPr>
          <w:rFonts w:ascii="Times New Roman" w:hAnsi="Times New Roman"/>
        </w:rPr>
        <w:t xml:space="preserve">rium realizowanego dla </w:t>
      </w:r>
      <w:r w:rsidR="00CB6955">
        <w:rPr>
          <w:rFonts w:ascii="Times New Roman" w:hAnsi="Times New Roman"/>
        </w:rPr>
        <w:t>51-</w:t>
      </w:r>
      <w:r w:rsidR="00090124">
        <w:rPr>
          <w:rFonts w:ascii="Times New Roman" w:hAnsi="Times New Roman"/>
        </w:rPr>
        <w:t>100 uczestników + cena webi</w:t>
      </w:r>
      <w:r w:rsidR="001F6658">
        <w:rPr>
          <w:rFonts w:ascii="Times New Roman" w:hAnsi="Times New Roman"/>
        </w:rPr>
        <w:t>n</w:t>
      </w:r>
      <w:r w:rsidR="00090124">
        <w:rPr>
          <w:rFonts w:ascii="Times New Roman" w:hAnsi="Times New Roman"/>
        </w:rPr>
        <w:t>ar</w:t>
      </w:r>
      <w:r w:rsidR="001F6658">
        <w:rPr>
          <w:rFonts w:ascii="Times New Roman" w:hAnsi="Times New Roman"/>
        </w:rPr>
        <w:t>i</w:t>
      </w:r>
      <w:r w:rsidR="00090124">
        <w:rPr>
          <w:rFonts w:ascii="Times New Roman" w:hAnsi="Times New Roman"/>
        </w:rPr>
        <w:t xml:space="preserve">um zaproponowana dla </w:t>
      </w:r>
      <w:r w:rsidR="00CB6955">
        <w:rPr>
          <w:rFonts w:ascii="Times New Roman" w:hAnsi="Times New Roman"/>
        </w:rPr>
        <w:t>101-</w:t>
      </w:r>
      <w:r w:rsidR="00090124">
        <w:rPr>
          <w:rFonts w:ascii="Times New Roman" w:hAnsi="Times New Roman"/>
        </w:rPr>
        <w:t>250 uczestników + cena webinarium dla</w:t>
      </w:r>
      <w:r w:rsidR="001F6658">
        <w:rPr>
          <w:rFonts w:ascii="Times New Roman" w:hAnsi="Times New Roman"/>
        </w:rPr>
        <w:t xml:space="preserve"> </w:t>
      </w:r>
      <w:r w:rsidR="00CB6955">
        <w:rPr>
          <w:rFonts w:ascii="Times New Roman" w:hAnsi="Times New Roman"/>
        </w:rPr>
        <w:t>251-</w:t>
      </w:r>
      <w:r w:rsidR="00090124">
        <w:rPr>
          <w:rFonts w:ascii="Times New Roman" w:hAnsi="Times New Roman"/>
        </w:rPr>
        <w:t>500 uczestników)</w:t>
      </w:r>
      <w:r w:rsidR="00E33C14">
        <w:rPr>
          <w:rFonts w:ascii="Times New Roman" w:hAnsi="Times New Roman"/>
        </w:rPr>
        <w:t xml:space="preserve"> punkty zostaną przyznane zgodnie z wzorem: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tblGrid>
      <w:tr w:rsidR="00E33C14" w:rsidRPr="00DA3B23" w14:paraId="6E28356B" w14:textId="77777777" w:rsidTr="003970D6">
        <w:trPr>
          <w:jc w:val="center"/>
        </w:trPr>
        <w:tc>
          <w:tcPr>
            <w:tcW w:w="3528" w:type="dxa"/>
            <w:tcBorders>
              <w:top w:val="nil"/>
              <w:left w:val="nil"/>
              <w:bottom w:val="single" w:sz="4" w:space="0" w:color="auto"/>
              <w:right w:val="nil"/>
            </w:tcBorders>
            <w:hideMark/>
          </w:tcPr>
          <w:p w14:paraId="553FC60F" w14:textId="77777777" w:rsidR="00E33C14" w:rsidRPr="00E33C14" w:rsidRDefault="00E33C14" w:rsidP="003970D6">
            <w:pPr>
              <w:jc w:val="center"/>
              <w:rPr>
                <w:rFonts w:ascii="Times New Roman" w:hAnsi="Times New Roman" w:cs="Times New Roman"/>
                <w:bCs/>
                <w:sz w:val="24"/>
                <w:szCs w:val="24"/>
              </w:rPr>
            </w:pPr>
            <w:r w:rsidRPr="00E33C14">
              <w:rPr>
                <w:rFonts w:ascii="Times New Roman" w:hAnsi="Times New Roman" w:cs="Times New Roman"/>
                <w:bCs/>
                <w:sz w:val="24"/>
                <w:szCs w:val="24"/>
              </w:rPr>
              <w:t>Cena brutto oferty najtańszej</w:t>
            </w:r>
          </w:p>
        </w:tc>
        <w:tc>
          <w:tcPr>
            <w:tcW w:w="3240" w:type="dxa"/>
            <w:vMerge w:val="restart"/>
            <w:tcBorders>
              <w:top w:val="nil"/>
              <w:left w:val="nil"/>
              <w:bottom w:val="nil"/>
              <w:right w:val="nil"/>
            </w:tcBorders>
            <w:vAlign w:val="center"/>
            <w:hideMark/>
          </w:tcPr>
          <w:p w14:paraId="0A9E18C0" w14:textId="087567B3" w:rsidR="00E33C14" w:rsidRPr="00E33C14" w:rsidRDefault="00E33C14">
            <w:pPr>
              <w:rPr>
                <w:rFonts w:ascii="Times New Roman" w:hAnsi="Times New Roman" w:cs="Times New Roman"/>
                <w:bCs/>
                <w:sz w:val="24"/>
                <w:szCs w:val="24"/>
              </w:rPr>
            </w:pPr>
            <w:r w:rsidRPr="00E33C14">
              <w:rPr>
                <w:rFonts w:ascii="Times New Roman" w:hAnsi="Times New Roman" w:cs="Times New Roman"/>
                <w:bCs/>
                <w:sz w:val="24"/>
                <w:szCs w:val="24"/>
              </w:rPr>
              <w:t xml:space="preserve">x </w:t>
            </w:r>
            <w:r>
              <w:rPr>
                <w:rFonts w:ascii="Times New Roman" w:hAnsi="Times New Roman" w:cs="Times New Roman"/>
                <w:bCs/>
                <w:sz w:val="24"/>
                <w:szCs w:val="24"/>
              </w:rPr>
              <w:t>7</w:t>
            </w:r>
            <w:r w:rsidRPr="00E33C14">
              <w:rPr>
                <w:rFonts w:ascii="Times New Roman" w:hAnsi="Times New Roman" w:cs="Times New Roman"/>
                <w:bCs/>
                <w:sz w:val="24"/>
                <w:szCs w:val="24"/>
              </w:rPr>
              <w:t>0 = liczba punktów</w:t>
            </w:r>
          </w:p>
        </w:tc>
      </w:tr>
      <w:tr w:rsidR="00E33C14" w:rsidRPr="00DA3B23" w14:paraId="66F0CCD4" w14:textId="77777777" w:rsidTr="003970D6">
        <w:trPr>
          <w:jc w:val="center"/>
        </w:trPr>
        <w:tc>
          <w:tcPr>
            <w:tcW w:w="3528" w:type="dxa"/>
            <w:tcBorders>
              <w:top w:val="single" w:sz="4" w:space="0" w:color="auto"/>
              <w:left w:val="nil"/>
              <w:bottom w:val="nil"/>
              <w:right w:val="nil"/>
            </w:tcBorders>
            <w:hideMark/>
          </w:tcPr>
          <w:p w14:paraId="17964881" w14:textId="77777777" w:rsidR="00E33C14" w:rsidRPr="00E33C14" w:rsidRDefault="00E33C14" w:rsidP="003970D6">
            <w:pPr>
              <w:jc w:val="center"/>
              <w:rPr>
                <w:rFonts w:ascii="Times New Roman" w:hAnsi="Times New Roman" w:cs="Times New Roman"/>
                <w:bCs/>
                <w:sz w:val="24"/>
                <w:szCs w:val="24"/>
              </w:rPr>
            </w:pPr>
            <w:r w:rsidRPr="00E33C14">
              <w:rPr>
                <w:rFonts w:ascii="Times New Roman" w:hAnsi="Times New Roman" w:cs="Times New Roman"/>
                <w:bCs/>
                <w:sz w:val="24"/>
                <w:szCs w:val="24"/>
              </w:rPr>
              <w:t>Cena brutto oferty badanej</w:t>
            </w:r>
          </w:p>
        </w:tc>
        <w:tc>
          <w:tcPr>
            <w:tcW w:w="0" w:type="auto"/>
            <w:vMerge/>
            <w:tcBorders>
              <w:top w:val="nil"/>
              <w:left w:val="nil"/>
              <w:bottom w:val="nil"/>
              <w:right w:val="nil"/>
            </w:tcBorders>
            <w:vAlign w:val="center"/>
            <w:hideMark/>
          </w:tcPr>
          <w:p w14:paraId="7B682F70" w14:textId="77777777" w:rsidR="00E33C14" w:rsidRPr="00DA3B23" w:rsidRDefault="00E33C14" w:rsidP="003970D6">
            <w:pPr>
              <w:rPr>
                <w:rFonts w:ascii="Times New Roman" w:hAnsi="Times New Roman" w:cs="Times New Roman"/>
                <w:b/>
                <w:bCs/>
                <w:sz w:val="24"/>
                <w:szCs w:val="24"/>
              </w:rPr>
            </w:pPr>
          </w:p>
        </w:tc>
      </w:tr>
    </w:tbl>
    <w:p w14:paraId="063A5E63" w14:textId="640E41BF" w:rsidR="008D2401" w:rsidRPr="008D2401" w:rsidRDefault="008D2401" w:rsidP="00E33C14">
      <w:pPr>
        <w:pStyle w:val="Akapitzlist"/>
        <w:spacing w:line="276" w:lineRule="auto"/>
        <w:ind w:left="1080"/>
        <w:contextualSpacing/>
        <w:jc w:val="both"/>
        <w:rPr>
          <w:rFonts w:ascii="Times New Roman" w:hAnsi="Times New Roman"/>
        </w:rPr>
      </w:pPr>
    </w:p>
    <w:p w14:paraId="0843A6D4" w14:textId="084F943B" w:rsidR="00362978" w:rsidRPr="008D2401" w:rsidRDefault="00362978" w:rsidP="00BE69CE">
      <w:pPr>
        <w:pStyle w:val="Akapitzlist"/>
        <w:numPr>
          <w:ilvl w:val="0"/>
          <w:numId w:val="23"/>
        </w:numPr>
        <w:spacing w:line="276" w:lineRule="auto"/>
        <w:contextualSpacing/>
        <w:jc w:val="both"/>
        <w:rPr>
          <w:rFonts w:ascii="Times New Roman" w:hAnsi="Times New Roman"/>
        </w:rPr>
      </w:pPr>
      <w:r w:rsidRPr="008D2401">
        <w:rPr>
          <w:rFonts w:ascii="Times New Roman" w:hAnsi="Times New Roman"/>
          <w:b/>
        </w:rPr>
        <w:t>30</w:t>
      </w:r>
      <w:r w:rsidR="003F2250" w:rsidRPr="008D2401">
        <w:rPr>
          <w:rFonts w:ascii="Times New Roman" w:hAnsi="Times New Roman"/>
          <w:b/>
        </w:rPr>
        <w:t xml:space="preserve">% </w:t>
      </w:r>
      <w:r w:rsidRPr="008D2401">
        <w:rPr>
          <w:rFonts w:ascii="Times New Roman" w:hAnsi="Times New Roman"/>
        </w:rPr>
        <w:t>liczb</w:t>
      </w:r>
      <w:r w:rsidR="00CB72FD">
        <w:rPr>
          <w:rFonts w:ascii="Times New Roman" w:hAnsi="Times New Roman"/>
        </w:rPr>
        <w:t>a</w:t>
      </w:r>
      <w:r w:rsidRPr="008D2401">
        <w:rPr>
          <w:rFonts w:ascii="Times New Roman" w:hAnsi="Times New Roman"/>
        </w:rPr>
        <w:t xml:space="preserve"> </w:t>
      </w:r>
      <w:r w:rsidR="009131E2">
        <w:rPr>
          <w:rFonts w:ascii="Times New Roman" w:hAnsi="Times New Roman"/>
        </w:rPr>
        <w:t>zrealizowanych</w:t>
      </w:r>
      <w:r w:rsidRPr="008D2401">
        <w:rPr>
          <w:rFonts w:ascii="Times New Roman" w:hAnsi="Times New Roman"/>
        </w:rPr>
        <w:t xml:space="preserve"> </w:t>
      </w:r>
      <w:r w:rsidR="00CB72FD">
        <w:rPr>
          <w:rFonts w:ascii="Times New Roman" w:hAnsi="Times New Roman"/>
        </w:rPr>
        <w:t xml:space="preserve">przez wykonawcę </w:t>
      </w:r>
      <w:r w:rsidRPr="008D2401">
        <w:rPr>
          <w:rFonts w:ascii="Times New Roman" w:hAnsi="Times New Roman"/>
        </w:rPr>
        <w:t>webinariów</w:t>
      </w:r>
      <w:r w:rsidR="009131E2">
        <w:rPr>
          <w:rFonts w:ascii="Times New Roman" w:hAnsi="Times New Roman"/>
        </w:rPr>
        <w:t>/</w:t>
      </w:r>
      <w:r w:rsidRPr="008D2401">
        <w:rPr>
          <w:rFonts w:ascii="Times New Roman" w:hAnsi="Times New Roman"/>
        </w:rPr>
        <w:t xml:space="preserve"> telekonferencji w okresie </w:t>
      </w:r>
      <w:r w:rsidR="001F6658">
        <w:rPr>
          <w:rFonts w:ascii="Times New Roman" w:hAnsi="Times New Roman"/>
        </w:rPr>
        <w:t xml:space="preserve">ostatnich </w:t>
      </w:r>
      <w:r w:rsidRPr="008D2401">
        <w:rPr>
          <w:rFonts w:ascii="Times New Roman" w:hAnsi="Times New Roman"/>
        </w:rPr>
        <w:t xml:space="preserve">dwóch lat </w:t>
      </w:r>
      <w:r w:rsidR="003F2250" w:rsidRPr="008D2401">
        <w:rPr>
          <w:rFonts w:ascii="Times New Roman" w:hAnsi="Times New Roman"/>
        </w:rPr>
        <w:t xml:space="preserve">licząc </w:t>
      </w:r>
      <w:r w:rsidR="001F6658">
        <w:rPr>
          <w:rFonts w:ascii="Times New Roman" w:hAnsi="Times New Roman"/>
        </w:rPr>
        <w:t>do</w:t>
      </w:r>
      <w:r w:rsidR="001F6658" w:rsidRPr="008D2401">
        <w:rPr>
          <w:rFonts w:ascii="Times New Roman" w:hAnsi="Times New Roman"/>
        </w:rPr>
        <w:t xml:space="preserve"> </w:t>
      </w:r>
      <w:r w:rsidR="003F2250" w:rsidRPr="008D2401">
        <w:rPr>
          <w:rFonts w:ascii="Times New Roman" w:hAnsi="Times New Roman"/>
        </w:rPr>
        <w:t>dnia złożenia oferty.</w:t>
      </w:r>
      <w:r w:rsidR="009131E2">
        <w:rPr>
          <w:rFonts w:ascii="Times New Roman" w:hAnsi="Times New Roman"/>
        </w:rPr>
        <w:t xml:space="preserve"> Punkty zostaną przyznane w następujący sposób: </w:t>
      </w:r>
      <w:r w:rsidRPr="008D2401">
        <w:rPr>
          <w:rFonts w:ascii="Times New Roman" w:hAnsi="Times New Roman"/>
        </w:rPr>
        <w:t>1</w:t>
      </w:r>
      <w:r w:rsidR="003F2250" w:rsidRPr="008D2401">
        <w:rPr>
          <w:rFonts w:ascii="Times New Roman" w:hAnsi="Times New Roman"/>
        </w:rPr>
        <w:t>6-</w:t>
      </w:r>
      <w:r w:rsidRPr="008D2401">
        <w:rPr>
          <w:rFonts w:ascii="Times New Roman" w:hAnsi="Times New Roman"/>
        </w:rPr>
        <w:t>25</w:t>
      </w:r>
      <w:r w:rsidR="003F2250" w:rsidRPr="008D2401">
        <w:rPr>
          <w:rFonts w:ascii="Times New Roman" w:hAnsi="Times New Roman"/>
        </w:rPr>
        <w:t xml:space="preserve"> </w:t>
      </w:r>
      <w:r w:rsidR="009131E2">
        <w:rPr>
          <w:rFonts w:ascii="Times New Roman" w:hAnsi="Times New Roman"/>
        </w:rPr>
        <w:t>webinariów/ telekonferencji</w:t>
      </w:r>
      <w:r w:rsidR="003F2250" w:rsidRPr="008D2401">
        <w:rPr>
          <w:rFonts w:ascii="Times New Roman" w:hAnsi="Times New Roman"/>
        </w:rPr>
        <w:t xml:space="preserve"> – 15</w:t>
      </w:r>
      <w:r w:rsidRPr="008D2401">
        <w:rPr>
          <w:rFonts w:ascii="Times New Roman" w:hAnsi="Times New Roman"/>
        </w:rPr>
        <w:t xml:space="preserve"> pkt, 2</w:t>
      </w:r>
      <w:r w:rsidR="00931B9A">
        <w:rPr>
          <w:rFonts w:ascii="Times New Roman" w:hAnsi="Times New Roman"/>
        </w:rPr>
        <w:t>6</w:t>
      </w:r>
      <w:r w:rsidR="003F2250" w:rsidRPr="008D2401">
        <w:rPr>
          <w:rFonts w:ascii="Times New Roman" w:hAnsi="Times New Roman"/>
        </w:rPr>
        <w:t xml:space="preserve"> lub więcej </w:t>
      </w:r>
      <w:r w:rsidR="009131E2">
        <w:rPr>
          <w:rFonts w:ascii="Times New Roman" w:hAnsi="Times New Roman"/>
        </w:rPr>
        <w:t>webinariów/ telekonferencji</w:t>
      </w:r>
      <w:r w:rsidR="003F2250" w:rsidRPr="008D2401">
        <w:rPr>
          <w:rFonts w:ascii="Times New Roman" w:hAnsi="Times New Roman"/>
        </w:rPr>
        <w:t xml:space="preserve"> – </w:t>
      </w:r>
      <w:r w:rsidRPr="008D2401">
        <w:rPr>
          <w:rFonts w:ascii="Times New Roman" w:hAnsi="Times New Roman"/>
        </w:rPr>
        <w:t>30</w:t>
      </w:r>
      <w:r w:rsidR="003F2250" w:rsidRPr="008D2401">
        <w:rPr>
          <w:rFonts w:ascii="Times New Roman" w:hAnsi="Times New Roman"/>
        </w:rPr>
        <w:t xml:space="preserve"> pkt.</w:t>
      </w:r>
    </w:p>
    <w:p w14:paraId="2663C299" w14:textId="77777777" w:rsidR="003F2250" w:rsidRPr="008D2401" w:rsidRDefault="003F2250" w:rsidP="003F2250">
      <w:pPr>
        <w:pStyle w:val="Akapitzlist"/>
        <w:spacing w:line="276" w:lineRule="auto"/>
        <w:jc w:val="both"/>
        <w:rPr>
          <w:rFonts w:ascii="Times New Roman" w:hAnsi="Times New Roman"/>
          <w:b/>
        </w:rPr>
      </w:pPr>
    </w:p>
    <w:p w14:paraId="5C2D282B" w14:textId="545E63C9" w:rsidR="003F2250" w:rsidRPr="008D2401" w:rsidRDefault="003F2250" w:rsidP="003F2250">
      <w:pPr>
        <w:pStyle w:val="Akapitzlist"/>
        <w:spacing w:line="276" w:lineRule="auto"/>
        <w:jc w:val="both"/>
        <w:rPr>
          <w:rFonts w:ascii="Times New Roman" w:hAnsi="Times New Roman"/>
        </w:rPr>
      </w:pPr>
      <w:r w:rsidRPr="008D2401">
        <w:rPr>
          <w:rFonts w:ascii="Times New Roman" w:hAnsi="Times New Roman"/>
        </w:rPr>
        <w:t>W celu uzyskania punktów Wykonawca wypełni tabel</w:t>
      </w:r>
      <w:r w:rsidR="00674D2C">
        <w:rPr>
          <w:rFonts w:ascii="Times New Roman" w:hAnsi="Times New Roman"/>
        </w:rPr>
        <w:t>ę</w:t>
      </w:r>
      <w:r w:rsidRPr="008D2401">
        <w:rPr>
          <w:rFonts w:ascii="Times New Roman" w:hAnsi="Times New Roman"/>
        </w:rPr>
        <w:t xml:space="preserve"> zamieszczon</w:t>
      </w:r>
      <w:r w:rsidR="00674D2C">
        <w:rPr>
          <w:rFonts w:ascii="Times New Roman" w:hAnsi="Times New Roman"/>
        </w:rPr>
        <w:t>ą</w:t>
      </w:r>
      <w:r w:rsidRPr="008D2401">
        <w:rPr>
          <w:rFonts w:ascii="Times New Roman" w:hAnsi="Times New Roman"/>
        </w:rPr>
        <w:t xml:space="preserve"> w formularzu oferty.  Zamawiający zastrzega, że oferta, która nie uzyska punktów w kryterium wymienionym w pkt </w:t>
      </w:r>
      <w:r w:rsidR="007E6932">
        <w:rPr>
          <w:rFonts w:ascii="Times New Roman" w:hAnsi="Times New Roman"/>
        </w:rPr>
        <w:t>4</w:t>
      </w:r>
      <w:r w:rsidRPr="008D2401">
        <w:rPr>
          <w:rFonts w:ascii="Times New Roman" w:hAnsi="Times New Roman"/>
        </w:rPr>
        <w:t xml:space="preserve"> </w:t>
      </w:r>
      <w:r w:rsidR="00674D2C">
        <w:rPr>
          <w:rFonts w:ascii="Times New Roman" w:hAnsi="Times New Roman"/>
        </w:rPr>
        <w:t>lit.</w:t>
      </w:r>
      <w:r w:rsidRPr="008D2401">
        <w:rPr>
          <w:rFonts w:ascii="Times New Roman" w:hAnsi="Times New Roman"/>
        </w:rPr>
        <w:t xml:space="preserve"> b) zostanie odrzucona. </w:t>
      </w:r>
    </w:p>
    <w:p w14:paraId="4B6AE97D" w14:textId="77777777" w:rsidR="003F2250" w:rsidRPr="008D2401" w:rsidRDefault="003F2250" w:rsidP="003F2250">
      <w:pPr>
        <w:pStyle w:val="Akapitzlist"/>
        <w:spacing w:line="276" w:lineRule="auto"/>
        <w:jc w:val="both"/>
        <w:rPr>
          <w:rFonts w:ascii="Times New Roman" w:hAnsi="Times New Roman"/>
        </w:rPr>
      </w:pPr>
    </w:p>
    <w:p w14:paraId="5F8C4184" w14:textId="4426EEA9" w:rsidR="003F2250" w:rsidRPr="008D2401" w:rsidRDefault="003F2250" w:rsidP="008D2401">
      <w:pPr>
        <w:pStyle w:val="Akapitzlist"/>
        <w:numPr>
          <w:ilvl w:val="0"/>
          <w:numId w:val="28"/>
        </w:numPr>
        <w:spacing w:line="276" w:lineRule="auto"/>
        <w:contextualSpacing/>
        <w:jc w:val="both"/>
        <w:rPr>
          <w:rFonts w:ascii="Times New Roman" w:hAnsi="Times New Roman"/>
        </w:rPr>
      </w:pPr>
      <w:r w:rsidRPr="008D2401">
        <w:rPr>
          <w:rFonts w:ascii="Times New Roman" w:hAnsi="Times New Roman"/>
          <w:b/>
        </w:rPr>
        <w:t xml:space="preserve">Osoba upoważniona do kontaktu: </w:t>
      </w:r>
      <w:r w:rsidRPr="008D2401">
        <w:rPr>
          <w:rFonts w:ascii="Times New Roman" w:hAnsi="Times New Roman"/>
        </w:rPr>
        <w:t xml:space="preserve">Grzegorz Wierzbicki, Dział </w:t>
      </w:r>
      <w:r w:rsidR="00362978" w:rsidRPr="008D2401">
        <w:rPr>
          <w:rFonts w:ascii="Times New Roman" w:hAnsi="Times New Roman"/>
        </w:rPr>
        <w:t>Komunikacji S</w:t>
      </w:r>
      <w:r w:rsidRPr="008D2401">
        <w:rPr>
          <w:rFonts w:ascii="Times New Roman" w:hAnsi="Times New Roman"/>
        </w:rPr>
        <w:t>połecznej,</w:t>
      </w:r>
      <w:r w:rsidRPr="008D2401">
        <w:rPr>
          <w:rStyle w:val="Hipercze"/>
          <w:rFonts w:ascii="Times New Roman" w:hAnsi="Times New Roman"/>
        </w:rPr>
        <w:t xml:space="preserve"> Grzegorz.wierzbicki@opi.org.pl</w:t>
      </w:r>
      <w:r w:rsidRPr="008D2401">
        <w:rPr>
          <w:rFonts w:ascii="Times New Roman" w:hAnsi="Times New Roman"/>
        </w:rPr>
        <w:t>, tel</w:t>
      </w:r>
      <w:r w:rsidR="00955E3E">
        <w:rPr>
          <w:rFonts w:ascii="Times New Roman" w:hAnsi="Times New Roman"/>
        </w:rPr>
        <w:t>.</w:t>
      </w:r>
      <w:r w:rsidRPr="008D2401">
        <w:rPr>
          <w:rFonts w:ascii="Times New Roman" w:hAnsi="Times New Roman"/>
        </w:rPr>
        <w:t>: 22  212 53 13</w:t>
      </w:r>
    </w:p>
    <w:p w14:paraId="22BA4E61" w14:textId="77777777" w:rsidR="008D2401" w:rsidRPr="008D2401" w:rsidRDefault="008D2401" w:rsidP="008D2401">
      <w:pPr>
        <w:pStyle w:val="Akapitzlist"/>
        <w:spacing w:line="276" w:lineRule="auto"/>
        <w:contextualSpacing/>
        <w:jc w:val="both"/>
        <w:rPr>
          <w:rFonts w:ascii="Times New Roman" w:hAnsi="Times New Roman"/>
        </w:rPr>
      </w:pPr>
    </w:p>
    <w:p w14:paraId="605DA884" w14:textId="6F7C17CE" w:rsidR="003F2250" w:rsidRPr="008D2401" w:rsidRDefault="003F2250" w:rsidP="008D2401">
      <w:pPr>
        <w:pStyle w:val="Akapitzlist"/>
        <w:numPr>
          <w:ilvl w:val="0"/>
          <w:numId w:val="28"/>
        </w:numPr>
        <w:spacing w:line="276" w:lineRule="auto"/>
        <w:contextualSpacing/>
        <w:jc w:val="both"/>
        <w:rPr>
          <w:rFonts w:ascii="Times New Roman" w:hAnsi="Times New Roman"/>
          <w:b/>
        </w:rPr>
      </w:pPr>
      <w:r w:rsidRPr="008D2401">
        <w:rPr>
          <w:rFonts w:ascii="Times New Roman" w:hAnsi="Times New Roman"/>
          <w:b/>
        </w:rPr>
        <w:t xml:space="preserve">Sposób kalkulacji ceny – </w:t>
      </w:r>
      <w:r w:rsidRPr="008D2401">
        <w:rPr>
          <w:rFonts w:ascii="Times New Roman" w:hAnsi="Times New Roman"/>
        </w:rPr>
        <w:t xml:space="preserve">należy podać cenę netto i brutto (wyrażoną </w:t>
      </w:r>
      <w:r w:rsidRPr="008D2401">
        <w:rPr>
          <w:rFonts w:ascii="Times New Roman" w:hAnsi="Times New Roman"/>
        </w:rPr>
        <w:br/>
        <w:t>w złotych polskich, z dokładnością do dwóch miejsc po przecinku),</w:t>
      </w:r>
      <w:r w:rsidR="00DA7B40">
        <w:rPr>
          <w:rFonts w:ascii="Times New Roman" w:hAnsi="Times New Roman"/>
        </w:rPr>
        <w:t xml:space="preserve"> za realizację pojedynczego webinarium</w:t>
      </w:r>
      <w:r w:rsidR="00CB72FD">
        <w:rPr>
          <w:rFonts w:ascii="Times New Roman" w:hAnsi="Times New Roman"/>
        </w:rPr>
        <w:t>, dla wskazanych w formularzu ofertowym limitach uczestników,</w:t>
      </w:r>
      <w:r w:rsidRPr="008D2401">
        <w:rPr>
          <w:rFonts w:ascii="Times New Roman" w:hAnsi="Times New Roman"/>
        </w:rPr>
        <w:t xml:space="preserve"> obejmującą wszystkie koszty związane z realizacją zamówienia. Informujemy, że </w:t>
      </w:r>
      <w:r w:rsidR="00674D2C">
        <w:rPr>
          <w:rFonts w:ascii="Times New Roman" w:hAnsi="Times New Roman"/>
        </w:rPr>
        <w:t>usługa</w:t>
      </w:r>
      <w:r w:rsidRPr="008D2401">
        <w:rPr>
          <w:rFonts w:ascii="Times New Roman" w:hAnsi="Times New Roman"/>
        </w:rPr>
        <w:t xml:space="preserve"> będzie w całości sfinansowan</w:t>
      </w:r>
      <w:r w:rsidR="00674D2C">
        <w:rPr>
          <w:rFonts w:ascii="Times New Roman" w:hAnsi="Times New Roman"/>
        </w:rPr>
        <w:t>a</w:t>
      </w:r>
      <w:r w:rsidRPr="008D2401">
        <w:rPr>
          <w:rFonts w:ascii="Times New Roman" w:hAnsi="Times New Roman"/>
        </w:rPr>
        <w:t xml:space="preserve"> ze środków publicznych. </w:t>
      </w:r>
    </w:p>
    <w:p w14:paraId="0416C286" w14:textId="77777777" w:rsidR="003F2250" w:rsidRPr="008D2401" w:rsidRDefault="003F2250" w:rsidP="003F2250">
      <w:pPr>
        <w:spacing w:line="276" w:lineRule="auto"/>
        <w:jc w:val="both"/>
        <w:rPr>
          <w:rFonts w:ascii="Times New Roman" w:hAnsi="Times New Roman" w:cs="Times New Roman"/>
          <w:b/>
          <w:sz w:val="24"/>
          <w:szCs w:val="24"/>
        </w:rPr>
      </w:pPr>
    </w:p>
    <w:p w14:paraId="783137BD" w14:textId="77777777" w:rsidR="003F2250" w:rsidRPr="008D2401" w:rsidRDefault="003F2250" w:rsidP="008D2401">
      <w:pPr>
        <w:pStyle w:val="Akapitzlist"/>
        <w:numPr>
          <w:ilvl w:val="0"/>
          <w:numId w:val="28"/>
        </w:numPr>
        <w:autoSpaceDE w:val="0"/>
        <w:autoSpaceDN w:val="0"/>
        <w:spacing w:after="200" w:line="276" w:lineRule="auto"/>
        <w:jc w:val="both"/>
        <w:rPr>
          <w:rFonts w:ascii="Times New Roman" w:hAnsi="Times New Roman"/>
          <w:b/>
          <w:color w:val="000000"/>
          <w:sz w:val="22"/>
          <w:szCs w:val="22"/>
          <w:lang w:eastAsia="ar-SA"/>
        </w:rPr>
      </w:pPr>
      <w:r w:rsidRPr="008D2401">
        <w:rPr>
          <w:rFonts w:ascii="Times New Roman" w:hAnsi="Times New Roman"/>
          <w:b/>
          <w:color w:val="000000"/>
          <w:sz w:val="22"/>
          <w:szCs w:val="22"/>
          <w:lang w:eastAsia="ar-SA"/>
        </w:rPr>
        <w:t>Rażąco niska cena:</w:t>
      </w:r>
    </w:p>
    <w:p w14:paraId="13343C2F" w14:textId="77777777" w:rsidR="003F2250" w:rsidRPr="008D2401" w:rsidRDefault="003F2250" w:rsidP="003F2250">
      <w:pPr>
        <w:pStyle w:val="Akapitzlist"/>
        <w:numPr>
          <w:ilvl w:val="0"/>
          <w:numId w:val="16"/>
        </w:numPr>
        <w:shd w:val="clear" w:color="auto" w:fill="FFFFFF"/>
        <w:spacing w:line="276" w:lineRule="auto"/>
        <w:ind w:left="426" w:hanging="426"/>
        <w:jc w:val="both"/>
        <w:rPr>
          <w:rFonts w:ascii="Times New Roman" w:hAnsi="Times New Roman"/>
          <w:sz w:val="22"/>
          <w:szCs w:val="22"/>
        </w:rPr>
      </w:pPr>
      <w:r w:rsidRPr="008D2401">
        <w:rPr>
          <w:rFonts w:ascii="Times New Roman" w:hAnsi="Times New Roman"/>
          <w:sz w:val="22"/>
          <w:szCs w:val="22"/>
        </w:rPr>
        <w:t xml:space="preserve">Jeżeli zaoferowana cena wyda się Zamawiającemu rażąco niska w stosunku do przedmiotu zamówienia i wzbudzi wątpliwości Zamawiającego co do możliwości wykonania przedmiotu zamówienia zgodnie z wymaganiami określonymi przez Zamawiającego lub wynikającymi z odrębnych przepisów, </w:t>
      </w:r>
      <w:r w:rsidRPr="008D2401">
        <w:rPr>
          <w:rFonts w:ascii="Times New Roman" w:hAnsi="Times New Roman"/>
          <w:sz w:val="22"/>
          <w:szCs w:val="22"/>
        </w:rPr>
        <w:lastRenderedPageBreak/>
        <w:t>Zamawiający zwróci się o udzielenie wyjaśnień, w tym złożenie dowodów, dotyczących wyliczenia ceny, w szczególności w zakresie:</w:t>
      </w:r>
    </w:p>
    <w:p w14:paraId="55F5878D" w14:textId="77777777" w:rsidR="003F2250" w:rsidRPr="008D2401" w:rsidRDefault="003F2250" w:rsidP="003F2250">
      <w:pPr>
        <w:pStyle w:val="Akapitzlist"/>
        <w:numPr>
          <w:ilvl w:val="1"/>
          <w:numId w:val="22"/>
        </w:numPr>
        <w:shd w:val="clear" w:color="auto" w:fill="FFFFFF"/>
        <w:spacing w:after="72" w:line="276" w:lineRule="auto"/>
        <w:ind w:left="851" w:hanging="425"/>
        <w:jc w:val="both"/>
        <w:rPr>
          <w:rFonts w:ascii="Times New Roman" w:hAnsi="Times New Roman"/>
          <w:sz w:val="22"/>
          <w:szCs w:val="22"/>
        </w:rPr>
      </w:pPr>
      <w:r w:rsidRPr="008D2401">
        <w:rPr>
          <w:rFonts w:ascii="Times New Roman" w:hAnsi="Times New Roman"/>
          <w:sz w:val="22"/>
          <w:szCs w:val="22"/>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r w:rsidR="00075D9B">
        <w:rPr>
          <w:rFonts w:ascii="Times New Roman" w:hAnsi="Times New Roman"/>
          <w:sz w:val="22"/>
          <w:szCs w:val="22"/>
        </w:rPr>
        <w:t xml:space="preserve"> ze zm.</w:t>
      </w:r>
      <w:r w:rsidRPr="008D2401">
        <w:rPr>
          <w:rFonts w:ascii="Times New Roman" w:hAnsi="Times New Roman"/>
          <w:sz w:val="22"/>
          <w:szCs w:val="22"/>
        </w:rPr>
        <w:t>);</w:t>
      </w:r>
    </w:p>
    <w:p w14:paraId="475E1A11" w14:textId="77777777" w:rsidR="003F2250" w:rsidRPr="008D2401" w:rsidRDefault="003F2250" w:rsidP="003F2250">
      <w:pPr>
        <w:pStyle w:val="Akapitzlist"/>
        <w:numPr>
          <w:ilvl w:val="1"/>
          <w:numId w:val="22"/>
        </w:numPr>
        <w:shd w:val="clear" w:color="auto" w:fill="FFFFFF"/>
        <w:spacing w:after="72" w:line="276" w:lineRule="auto"/>
        <w:ind w:left="851" w:hanging="425"/>
        <w:jc w:val="both"/>
        <w:rPr>
          <w:rFonts w:ascii="Times New Roman" w:hAnsi="Times New Roman"/>
          <w:sz w:val="22"/>
          <w:szCs w:val="22"/>
        </w:rPr>
      </w:pPr>
      <w:r w:rsidRPr="008D2401">
        <w:rPr>
          <w:rFonts w:ascii="Times New Roman" w:hAnsi="Times New Roman"/>
          <w:sz w:val="22"/>
          <w:szCs w:val="22"/>
        </w:rPr>
        <w:t>pomocy publicznej udzielonej na podstawie odrębnych przepisów;</w:t>
      </w:r>
    </w:p>
    <w:p w14:paraId="001AE2F5" w14:textId="77777777" w:rsidR="003F2250" w:rsidRPr="008D2401" w:rsidRDefault="003F2250" w:rsidP="003F2250">
      <w:pPr>
        <w:pStyle w:val="Akapitzlist"/>
        <w:numPr>
          <w:ilvl w:val="1"/>
          <w:numId w:val="22"/>
        </w:numPr>
        <w:shd w:val="clear" w:color="auto" w:fill="FFFFFF"/>
        <w:spacing w:after="72" w:line="276" w:lineRule="auto"/>
        <w:ind w:left="851" w:hanging="425"/>
        <w:jc w:val="both"/>
        <w:rPr>
          <w:rFonts w:ascii="Times New Roman" w:hAnsi="Times New Roman"/>
          <w:sz w:val="22"/>
          <w:szCs w:val="22"/>
        </w:rPr>
      </w:pPr>
      <w:r w:rsidRPr="008D2401">
        <w:rPr>
          <w:rFonts w:ascii="Times New Roman" w:hAnsi="Times New Roman"/>
          <w:sz w:val="22"/>
          <w:szCs w:val="22"/>
        </w:rPr>
        <w:t>wynikającym z przepisów prawa pracy i przepisów o zabezpieczeniu społecznym, obowiązujących w miejscu, w którym realizowane jest zamówienie;</w:t>
      </w:r>
    </w:p>
    <w:p w14:paraId="2281903F" w14:textId="77777777" w:rsidR="003F2250" w:rsidRPr="008D2401" w:rsidRDefault="003F2250" w:rsidP="003F2250">
      <w:pPr>
        <w:pStyle w:val="Akapitzlist"/>
        <w:numPr>
          <w:ilvl w:val="1"/>
          <w:numId w:val="22"/>
        </w:numPr>
        <w:shd w:val="clear" w:color="auto" w:fill="FFFFFF"/>
        <w:spacing w:after="72" w:line="276" w:lineRule="auto"/>
        <w:ind w:left="851" w:hanging="425"/>
        <w:jc w:val="both"/>
        <w:rPr>
          <w:rFonts w:ascii="Times New Roman" w:hAnsi="Times New Roman"/>
          <w:sz w:val="22"/>
          <w:szCs w:val="22"/>
        </w:rPr>
      </w:pPr>
      <w:r w:rsidRPr="008D2401">
        <w:rPr>
          <w:rFonts w:ascii="Times New Roman" w:hAnsi="Times New Roman"/>
          <w:sz w:val="22"/>
          <w:szCs w:val="22"/>
        </w:rPr>
        <w:t>wynikającym z przepisów prawa ochrony środowiska;</w:t>
      </w:r>
    </w:p>
    <w:p w14:paraId="5F87800D" w14:textId="77777777" w:rsidR="003F2250" w:rsidRPr="008D2401" w:rsidRDefault="003F2250" w:rsidP="003F2250">
      <w:pPr>
        <w:pStyle w:val="Akapitzlist"/>
        <w:numPr>
          <w:ilvl w:val="1"/>
          <w:numId w:val="22"/>
        </w:numPr>
        <w:shd w:val="clear" w:color="auto" w:fill="FFFFFF"/>
        <w:spacing w:after="72" w:line="276" w:lineRule="auto"/>
        <w:ind w:left="850" w:hanging="425"/>
        <w:jc w:val="both"/>
        <w:rPr>
          <w:rFonts w:ascii="Times New Roman" w:hAnsi="Times New Roman"/>
          <w:sz w:val="22"/>
          <w:szCs w:val="22"/>
        </w:rPr>
      </w:pPr>
      <w:r w:rsidRPr="008D2401">
        <w:rPr>
          <w:rFonts w:ascii="Times New Roman" w:hAnsi="Times New Roman"/>
          <w:sz w:val="22"/>
          <w:szCs w:val="22"/>
        </w:rPr>
        <w:t>powierzenia wykonania części zamówienia podwykonawcy.</w:t>
      </w:r>
    </w:p>
    <w:p w14:paraId="6C485FAA" w14:textId="77777777" w:rsidR="003F2250" w:rsidRPr="008D2401" w:rsidRDefault="003F2250" w:rsidP="003F2250">
      <w:pPr>
        <w:pStyle w:val="Akapitzlist"/>
        <w:numPr>
          <w:ilvl w:val="0"/>
          <w:numId w:val="16"/>
        </w:numPr>
        <w:shd w:val="clear" w:color="auto" w:fill="FFFFFF"/>
        <w:spacing w:after="120" w:line="276" w:lineRule="auto"/>
        <w:ind w:left="425" w:hanging="425"/>
        <w:jc w:val="both"/>
        <w:rPr>
          <w:rFonts w:ascii="Times New Roman" w:hAnsi="Times New Roman"/>
          <w:color w:val="000000"/>
          <w:sz w:val="22"/>
          <w:szCs w:val="22"/>
        </w:rPr>
      </w:pPr>
      <w:r w:rsidRPr="008D2401">
        <w:rPr>
          <w:rFonts w:ascii="Times New Roman" w:hAnsi="Times New Roman"/>
          <w:color w:val="000000"/>
          <w:sz w:val="22"/>
          <w:szCs w:val="22"/>
        </w:rPr>
        <w:t>Obowiązek wykazania, że oferta nie zawiera rażąco niskiej ceny spoczywa na Wykonawcy.</w:t>
      </w:r>
    </w:p>
    <w:p w14:paraId="2F8B0102" w14:textId="77777777" w:rsidR="003F2250" w:rsidRPr="008D2401" w:rsidRDefault="003F2250" w:rsidP="003F2250">
      <w:pPr>
        <w:pStyle w:val="Akapitzlist"/>
        <w:numPr>
          <w:ilvl w:val="0"/>
          <w:numId w:val="16"/>
        </w:numPr>
        <w:shd w:val="clear" w:color="auto" w:fill="FFFFFF"/>
        <w:spacing w:line="276" w:lineRule="auto"/>
        <w:ind w:left="426" w:hanging="426"/>
        <w:jc w:val="both"/>
        <w:rPr>
          <w:rFonts w:ascii="Times New Roman" w:hAnsi="Times New Roman"/>
          <w:color w:val="000000"/>
          <w:sz w:val="22"/>
          <w:szCs w:val="22"/>
        </w:rPr>
      </w:pPr>
      <w:r w:rsidRPr="008D2401">
        <w:rPr>
          <w:rFonts w:ascii="Times New Roman" w:hAnsi="Times New Roman"/>
          <w:color w:val="000000"/>
          <w:sz w:val="22"/>
          <w:szCs w:val="22"/>
        </w:rPr>
        <w:t>Zamawiający odrzuci ofertę Wykonawcy, który nie udzieli wyjaśnień lub jeżeli dokonana ocena wyjaśnień wraz ze złożonymi dowodami potwierdzi, że oferta zawiera rażąco niską cenę w stosunku do przedmiotu zamówienia.</w:t>
      </w:r>
    </w:p>
    <w:p w14:paraId="02B27422" w14:textId="77777777" w:rsidR="003F2250" w:rsidRPr="008D2401" w:rsidRDefault="003F2250" w:rsidP="003F2250">
      <w:pPr>
        <w:pStyle w:val="Akapitzlist"/>
        <w:shd w:val="clear" w:color="auto" w:fill="FFFFFF"/>
        <w:spacing w:line="276" w:lineRule="auto"/>
        <w:ind w:left="426"/>
        <w:jc w:val="both"/>
        <w:rPr>
          <w:rFonts w:ascii="Times New Roman" w:hAnsi="Times New Roman"/>
          <w:color w:val="000000"/>
          <w:sz w:val="22"/>
          <w:szCs w:val="22"/>
        </w:rPr>
      </w:pPr>
    </w:p>
    <w:p w14:paraId="131DFDFE" w14:textId="77777777" w:rsidR="003F2250" w:rsidRPr="008D2401" w:rsidRDefault="003F2250" w:rsidP="008D2401">
      <w:pPr>
        <w:pStyle w:val="Akapitzlist"/>
        <w:numPr>
          <w:ilvl w:val="0"/>
          <w:numId w:val="28"/>
        </w:numPr>
        <w:autoSpaceDE w:val="0"/>
        <w:autoSpaceDN w:val="0"/>
        <w:spacing w:after="200" w:line="276" w:lineRule="auto"/>
        <w:jc w:val="both"/>
        <w:rPr>
          <w:rFonts w:ascii="Times New Roman" w:hAnsi="Times New Roman"/>
          <w:b/>
          <w:color w:val="000000"/>
          <w:sz w:val="22"/>
          <w:szCs w:val="22"/>
          <w:lang w:eastAsia="ar-SA"/>
        </w:rPr>
      </w:pPr>
      <w:r w:rsidRPr="008D2401">
        <w:rPr>
          <w:rFonts w:ascii="Times New Roman" w:hAnsi="Times New Roman"/>
          <w:b/>
          <w:color w:val="000000"/>
          <w:sz w:val="22"/>
          <w:szCs w:val="22"/>
          <w:lang w:eastAsia="ar-SA"/>
        </w:rPr>
        <w:t>Unieważnienie postępowania:</w:t>
      </w:r>
    </w:p>
    <w:p w14:paraId="00A5B140" w14:textId="77777777" w:rsidR="003F2250" w:rsidRPr="008D2401" w:rsidRDefault="003F2250" w:rsidP="003F2250">
      <w:pPr>
        <w:pStyle w:val="Akapitzlist"/>
        <w:numPr>
          <w:ilvl w:val="0"/>
          <w:numId w:val="25"/>
        </w:numPr>
        <w:spacing w:line="276" w:lineRule="auto"/>
        <w:ind w:left="425" w:hanging="425"/>
        <w:jc w:val="both"/>
        <w:rPr>
          <w:rFonts w:ascii="Times New Roman" w:hAnsi="Times New Roman"/>
          <w:sz w:val="22"/>
          <w:szCs w:val="22"/>
        </w:rPr>
      </w:pPr>
      <w:r w:rsidRPr="008D2401">
        <w:rPr>
          <w:rFonts w:ascii="Times New Roman" w:hAnsi="Times New Roman"/>
          <w:sz w:val="22"/>
          <w:szCs w:val="22"/>
        </w:rPr>
        <w:t>Zamawiający zastrzega sobie prawo unieważnienia postępowania bez dokonania wyboru oferty w sytuacjach, gdy:</w:t>
      </w:r>
    </w:p>
    <w:p w14:paraId="6F8DA2AA" w14:textId="77777777" w:rsidR="003F2250" w:rsidRPr="008D2401" w:rsidRDefault="003F2250" w:rsidP="003F2250">
      <w:pPr>
        <w:numPr>
          <w:ilvl w:val="0"/>
          <w:numId w:val="26"/>
        </w:numPr>
        <w:suppressAutoHyphens/>
        <w:spacing w:after="0" w:line="276" w:lineRule="auto"/>
        <w:jc w:val="both"/>
        <w:rPr>
          <w:rFonts w:ascii="Times New Roman" w:hAnsi="Times New Roman" w:cs="Times New Roman"/>
        </w:rPr>
      </w:pPr>
      <w:r w:rsidRPr="008D2401">
        <w:rPr>
          <w:rFonts w:ascii="Times New Roman" w:hAnsi="Times New Roman" w:cs="Times New Roman"/>
        </w:rPr>
        <w:t>nie złożono żadnej oferty niepodlegającej odrzuceniu;</w:t>
      </w:r>
    </w:p>
    <w:p w14:paraId="27A6395D" w14:textId="77777777" w:rsidR="003F2250" w:rsidRPr="008D2401" w:rsidRDefault="003F2250" w:rsidP="003F2250">
      <w:pPr>
        <w:numPr>
          <w:ilvl w:val="0"/>
          <w:numId w:val="26"/>
        </w:numPr>
        <w:suppressAutoHyphens/>
        <w:spacing w:after="0" w:line="276" w:lineRule="auto"/>
        <w:jc w:val="both"/>
        <w:rPr>
          <w:rFonts w:ascii="Times New Roman" w:hAnsi="Times New Roman" w:cs="Times New Roman"/>
        </w:rPr>
      </w:pPr>
      <w:r w:rsidRPr="008D2401">
        <w:rPr>
          <w:rFonts w:ascii="Times New Roman" w:hAnsi="Times New Roman" w:cs="Times New Roman"/>
        </w:rPr>
        <w:t>cena najkorzystniejszej oferty lub oferta z najniższą ceną przewyższy kwotę, którą Zamawiający przeznaczył na sfinansowanie zamówienia, chyba że Zamawiający zwiększy tę kwotę do ceny najkorzystniejszej oferty;</w:t>
      </w:r>
    </w:p>
    <w:p w14:paraId="2EF36F7D" w14:textId="77777777" w:rsidR="003F2250" w:rsidRPr="008D2401" w:rsidRDefault="003F2250" w:rsidP="003F2250">
      <w:pPr>
        <w:numPr>
          <w:ilvl w:val="0"/>
          <w:numId w:val="26"/>
        </w:numPr>
        <w:suppressAutoHyphens/>
        <w:spacing w:after="0" w:line="276" w:lineRule="auto"/>
        <w:jc w:val="both"/>
        <w:rPr>
          <w:rFonts w:ascii="Times New Roman" w:hAnsi="Times New Roman" w:cs="Times New Roman"/>
        </w:rPr>
      </w:pPr>
      <w:r w:rsidRPr="008D2401">
        <w:rPr>
          <w:rFonts w:ascii="Times New Roman" w:hAnsi="Times New Roman" w:cs="Times New Roman"/>
        </w:rPr>
        <w:t>wystąpiła istotna zmiana okoliczności powodująca, że prowadzenie postępowania lub wykonanie zamówienia nie leży w interesie Zamawiającego;</w:t>
      </w:r>
    </w:p>
    <w:p w14:paraId="4C08EBEC" w14:textId="77777777" w:rsidR="003F2250" w:rsidRPr="008D2401" w:rsidRDefault="003F2250" w:rsidP="003F2250">
      <w:pPr>
        <w:numPr>
          <w:ilvl w:val="0"/>
          <w:numId w:val="26"/>
        </w:numPr>
        <w:suppressAutoHyphens/>
        <w:spacing w:after="120" w:line="276" w:lineRule="auto"/>
        <w:ind w:left="714" w:hanging="357"/>
        <w:jc w:val="both"/>
        <w:rPr>
          <w:rFonts w:ascii="Times New Roman" w:hAnsi="Times New Roman" w:cs="Times New Roman"/>
        </w:rPr>
      </w:pPr>
      <w:r w:rsidRPr="008D2401">
        <w:rPr>
          <w:rFonts w:ascii="Times New Roman" w:hAnsi="Times New Roman" w:cs="Times New Roman"/>
        </w:rPr>
        <w:t>postępowanie obarczone będzie niemożliwą do usunięcia wadą.</w:t>
      </w:r>
    </w:p>
    <w:p w14:paraId="0D4F8A97" w14:textId="77777777" w:rsidR="003F2250" w:rsidRPr="008D2401" w:rsidRDefault="003F2250" w:rsidP="003F2250">
      <w:pPr>
        <w:pStyle w:val="Akapitzlist"/>
        <w:numPr>
          <w:ilvl w:val="0"/>
          <w:numId w:val="25"/>
        </w:numPr>
        <w:spacing w:after="120" w:line="276" w:lineRule="auto"/>
        <w:ind w:left="425" w:hanging="425"/>
        <w:jc w:val="both"/>
        <w:rPr>
          <w:rFonts w:ascii="Times New Roman" w:hAnsi="Times New Roman"/>
          <w:sz w:val="22"/>
          <w:szCs w:val="22"/>
        </w:rPr>
      </w:pPr>
      <w:r w:rsidRPr="008D2401">
        <w:rPr>
          <w:rFonts w:ascii="Times New Roman" w:hAnsi="Times New Roman"/>
          <w:sz w:val="22"/>
          <w:szCs w:val="22"/>
        </w:rPr>
        <w:t>Zamawiający może zamknąć postępowanie bez dokonania wyboru oferty także wówczas, gdy zaistnieją okoliczności inne niż w ust. 1 lub bez podawania przyczyny.</w:t>
      </w:r>
    </w:p>
    <w:p w14:paraId="3F846BC4" w14:textId="77777777" w:rsidR="003F2250" w:rsidRPr="008D2401" w:rsidRDefault="003F2250" w:rsidP="003F2250">
      <w:pPr>
        <w:pStyle w:val="Akapitzlist"/>
        <w:numPr>
          <w:ilvl w:val="0"/>
          <w:numId w:val="25"/>
        </w:numPr>
        <w:spacing w:line="276" w:lineRule="auto"/>
        <w:ind w:left="425" w:hanging="425"/>
        <w:jc w:val="both"/>
        <w:rPr>
          <w:rFonts w:ascii="Times New Roman" w:hAnsi="Times New Roman"/>
          <w:sz w:val="22"/>
          <w:szCs w:val="22"/>
        </w:rPr>
      </w:pPr>
      <w:r w:rsidRPr="008D2401">
        <w:rPr>
          <w:rFonts w:ascii="Times New Roman" w:hAnsi="Times New Roman"/>
          <w:sz w:val="22"/>
          <w:szCs w:val="22"/>
        </w:rPr>
        <w:t xml:space="preserve">Zamawiający zawiadomi drogą mailową Wykonawców o zamknięciu postępowania. </w:t>
      </w:r>
    </w:p>
    <w:p w14:paraId="56271EC9" w14:textId="77777777" w:rsidR="003F2250" w:rsidRPr="008D2401" w:rsidRDefault="003F2250" w:rsidP="003F2250">
      <w:pPr>
        <w:pStyle w:val="Akapitzlist"/>
        <w:spacing w:line="276" w:lineRule="auto"/>
        <w:ind w:left="425"/>
        <w:jc w:val="both"/>
        <w:rPr>
          <w:rFonts w:ascii="Times New Roman" w:hAnsi="Times New Roman"/>
          <w:sz w:val="22"/>
          <w:szCs w:val="22"/>
        </w:rPr>
      </w:pPr>
    </w:p>
    <w:p w14:paraId="35D4E408" w14:textId="77777777" w:rsidR="003F2250" w:rsidRPr="008D2401" w:rsidRDefault="003F2250" w:rsidP="008D2401">
      <w:pPr>
        <w:pStyle w:val="Akapitzlist"/>
        <w:numPr>
          <w:ilvl w:val="0"/>
          <w:numId w:val="28"/>
        </w:numPr>
        <w:autoSpaceDE w:val="0"/>
        <w:autoSpaceDN w:val="0"/>
        <w:spacing w:after="200" w:line="276" w:lineRule="auto"/>
        <w:jc w:val="both"/>
        <w:rPr>
          <w:rFonts w:ascii="Times New Roman" w:hAnsi="Times New Roman"/>
          <w:b/>
          <w:color w:val="000000"/>
          <w:sz w:val="22"/>
          <w:szCs w:val="22"/>
          <w:lang w:eastAsia="ar-SA"/>
        </w:rPr>
      </w:pPr>
      <w:r w:rsidRPr="008D2401">
        <w:rPr>
          <w:rFonts w:ascii="Times New Roman" w:hAnsi="Times New Roman"/>
          <w:b/>
          <w:color w:val="000000"/>
          <w:sz w:val="22"/>
          <w:szCs w:val="22"/>
          <w:lang w:eastAsia="ar-SA"/>
        </w:rPr>
        <w:t>Poprawianie omyłek i błędów:</w:t>
      </w:r>
    </w:p>
    <w:p w14:paraId="433CC6AC" w14:textId="77777777" w:rsidR="003F2250" w:rsidRPr="008D2401" w:rsidRDefault="003F2250" w:rsidP="003F2250">
      <w:pPr>
        <w:shd w:val="clear" w:color="auto" w:fill="FFFFFF"/>
        <w:spacing w:after="72" w:line="276" w:lineRule="auto"/>
        <w:jc w:val="both"/>
        <w:rPr>
          <w:rFonts w:ascii="Times New Roman" w:hAnsi="Times New Roman" w:cs="Times New Roman"/>
        </w:rPr>
      </w:pPr>
      <w:r w:rsidRPr="008D2401">
        <w:rPr>
          <w:rFonts w:ascii="Times New Roman" w:hAnsi="Times New Roman" w:cs="Times New Roman"/>
        </w:rPr>
        <w:t>Zamawiający ma prawo do poprawiania w ofercie:</w:t>
      </w:r>
    </w:p>
    <w:p w14:paraId="0D9E7E11" w14:textId="77777777" w:rsidR="003F2250" w:rsidRPr="008D2401" w:rsidRDefault="003F2250" w:rsidP="003F2250">
      <w:pPr>
        <w:pStyle w:val="Akapitzlist"/>
        <w:numPr>
          <w:ilvl w:val="0"/>
          <w:numId w:val="3"/>
        </w:numPr>
        <w:shd w:val="clear" w:color="auto" w:fill="FFFFFF"/>
        <w:spacing w:after="72" w:line="276" w:lineRule="auto"/>
        <w:ind w:left="1068"/>
        <w:contextualSpacing/>
        <w:jc w:val="both"/>
        <w:rPr>
          <w:rFonts w:ascii="Times New Roman" w:hAnsi="Times New Roman"/>
          <w:sz w:val="22"/>
          <w:szCs w:val="22"/>
        </w:rPr>
      </w:pPr>
      <w:r w:rsidRPr="008D2401">
        <w:rPr>
          <w:rFonts w:ascii="Times New Roman" w:hAnsi="Times New Roman"/>
          <w:sz w:val="22"/>
          <w:szCs w:val="22"/>
        </w:rPr>
        <w:t>oczywistych omyłek pisarskich,</w:t>
      </w:r>
    </w:p>
    <w:p w14:paraId="145713E4" w14:textId="77777777" w:rsidR="003F2250" w:rsidRPr="008D2401" w:rsidRDefault="003F2250" w:rsidP="003F2250">
      <w:pPr>
        <w:pStyle w:val="Akapitzlist"/>
        <w:numPr>
          <w:ilvl w:val="0"/>
          <w:numId w:val="3"/>
        </w:numPr>
        <w:shd w:val="clear" w:color="auto" w:fill="FFFFFF"/>
        <w:spacing w:after="72" w:line="276" w:lineRule="auto"/>
        <w:ind w:left="1068"/>
        <w:contextualSpacing/>
        <w:jc w:val="both"/>
        <w:rPr>
          <w:rFonts w:ascii="Times New Roman" w:hAnsi="Times New Roman"/>
          <w:sz w:val="22"/>
          <w:szCs w:val="22"/>
        </w:rPr>
      </w:pPr>
      <w:r w:rsidRPr="008D2401">
        <w:rPr>
          <w:rFonts w:ascii="Times New Roman" w:hAnsi="Times New Roman"/>
          <w:sz w:val="22"/>
          <w:szCs w:val="22"/>
        </w:rPr>
        <w:t>oczywistych omyłek rachunkowych, z uwzględnieniem konsekwencji rachunkowych dokonanych poprawek,</w:t>
      </w:r>
    </w:p>
    <w:p w14:paraId="6BA2D0C4" w14:textId="77777777" w:rsidR="003F2250" w:rsidRPr="008D2401" w:rsidRDefault="003F2250" w:rsidP="003F2250">
      <w:pPr>
        <w:pStyle w:val="Akapitzlist"/>
        <w:numPr>
          <w:ilvl w:val="0"/>
          <w:numId w:val="3"/>
        </w:numPr>
        <w:shd w:val="clear" w:color="auto" w:fill="FFFFFF"/>
        <w:spacing w:after="72" w:line="276" w:lineRule="auto"/>
        <w:ind w:left="1068"/>
        <w:contextualSpacing/>
        <w:jc w:val="both"/>
        <w:rPr>
          <w:rFonts w:ascii="Times New Roman" w:hAnsi="Times New Roman"/>
          <w:sz w:val="22"/>
          <w:szCs w:val="22"/>
        </w:rPr>
      </w:pPr>
      <w:r w:rsidRPr="008D2401">
        <w:rPr>
          <w:rFonts w:ascii="Times New Roman" w:hAnsi="Times New Roman"/>
          <w:sz w:val="22"/>
          <w:szCs w:val="22"/>
        </w:rPr>
        <w:t>innych omyłek polegających na niezgodności oferty z zapytaniem ofertowym, niepowodujących istotnych zmian w treści oferty, niezwłocznie zawiadamiając o tym Wykonawcę, którego oferta została poprawiona.</w:t>
      </w:r>
    </w:p>
    <w:p w14:paraId="27935677" w14:textId="77777777" w:rsidR="003F2250" w:rsidRPr="008D2401" w:rsidRDefault="003F2250" w:rsidP="008D2401">
      <w:pPr>
        <w:pStyle w:val="Akapitzlist"/>
        <w:numPr>
          <w:ilvl w:val="0"/>
          <w:numId w:val="28"/>
        </w:numPr>
        <w:suppressAutoHyphens/>
        <w:spacing w:line="276" w:lineRule="auto"/>
        <w:rPr>
          <w:rFonts w:ascii="Times New Roman" w:hAnsi="Times New Roman"/>
          <w:b/>
          <w:sz w:val="22"/>
          <w:szCs w:val="22"/>
        </w:rPr>
      </w:pPr>
      <w:r w:rsidRPr="008D2401">
        <w:rPr>
          <w:rFonts w:ascii="Times New Roman" w:hAnsi="Times New Roman"/>
          <w:b/>
          <w:sz w:val="22"/>
          <w:szCs w:val="22"/>
        </w:rPr>
        <w:lastRenderedPageBreak/>
        <w:t>Klauzula informacyjna</w:t>
      </w:r>
    </w:p>
    <w:p w14:paraId="5A68D504" w14:textId="360629DA" w:rsidR="003F2250" w:rsidRPr="008D2401" w:rsidRDefault="003F2250" w:rsidP="003F2250">
      <w:pPr>
        <w:tabs>
          <w:tab w:val="left" w:pos="993"/>
        </w:tabs>
        <w:spacing w:line="276" w:lineRule="auto"/>
        <w:ind w:right="-355"/>
        <w:jc w:val="both"/>
        <w:rPr>
          <w:rFonts w:ascii="Times New Roman" w:hAnsi="Times New Roman" w:cs="Times New Roman"/>
        </w:rPr>
      </w:pPr>
      <w:r w:rsidRPr="008D2401">
        <w:rPr>
          <w:rFonts w:ascii="Times New Roman" w:hAnsi="Times New Roman" w:cs="Times New Roman"/>
        </w:rPr>
        <w:t>Zamawiający, realizując obowiązek wynikający odpowiednio z art. 14 lub 13 Rozporządzenia UE 2016/679 z dnia 27 kwietnia 2016 r. (dalej: RODO) informuje, że w związku z zaproszeniem do złożenia oferty oraz prowadzonym w tym przedmiocie postępowaniem na wybór wykonawcy:</w:t>
      </w:r>
    </w:p>
    <w:p w14:paraId="02C0E6BB" w14:textId="77777777" w:rsidR="003F2250" w:rsidRPr="008D2401" w:rsidRDefault="003F2250" w:rsidP="003F2250">
      <w:pPr>
        <w:pStyle w:val="Akapitzlist"/>
        <w:numPr>
          <w:ilvl w:val="0"/>
          <w:numId w:val="19"/>
        </w:numPr>
        <w:spacing w:line="276" w:lineRule="auto"/>
        <w:ind w:left="426" w:right="-355" w:hanging="426"/>
        <w:jc w:val="both"/>
        <w:rPr>
          <w:rFonts w:ascii="Times New Roman" w:hAnsi="Times New Roman"/>
          <w:sz w:val="22"/>
          <w:szCs w:val="22"/>
        </w:rPr>
      </w:pPr>
      <w:r w:rsidRPr="008D2401">
        <w:rPr>
          <w:rFonts w:ascii="Times New Roman" w:hAnsi="Times New Roman"/>
          <w:sz w:val="22"/>
          <w:szCs w:val="22"/>
        </w:rPr>
        <w:t>Jest administratorem w rozumieniu przepisów art. 4 pkt 7) RODO w stosunku do danych osobowych pozyskanych w celu przesłania zaproszenia do złożenia oferty oraz danych otrzymanych w ramach składanych ofert na realizację zamówienia publicznego znajdujących się w ofercie,</w:t>
      </w:r>
    </w:p>
    <w:p w14:paraId="3D60331B" w14:textId="77777777" w:rsidR="003F2250" w:rsidRPr="008D2401" w:rsidRDefault="003F2250" w:rsidP="003F2250">
      <w:pPr>
        <w:pStyle w:val="Akapitzlist"/>
        <w:numPr>
          <w:ilvl w:val="0"/>
          <w:numId w:val="19"/>
        </w:numPr>
        <w:spacing w:line="276" w:lineRule="auto"/>
        <w:ind w:left="426" w:right="-355" w:hanging="426"/>
        <w:jc w:val="both"/>
        <w:rPr>
          <w:rFonts w:ascii="Times New Roman" w:hAnsi="Times New Roman"/>
          <w:sz w:val="22"/>
          <w:szCs w:val="22"/>
        </w:rPr>
      </w:pPr>
      <w:r w:rsidRPr="008D2401">
        <w:rPr>
          <w:rFonts w:ascii="Times New Roman" w:hAnsi="Times New Roman"/>
          <w:sz w:val="22"/>
          <w:szCs w:val="22"/>
        </w:rPr>
        <w:t xml:space="preserve">Kontakt z administratorem jest możliwy w siedzibie jednostki przy al. Niepodległości 188b w Warszawie lub pod adresem mailowym </w:t>
      </w:r>
      <w:hyperlink r:id="rId8" w:history="1">
        <w:r w:rsidRPr="008D2401">
          <w:rPr>
            <w:rFonts w:ascii="Times New Roman" w:hAnsi="Times New Roman"/>
            <w:sz w:val="22"/>
            <w:szCs w:val="22"/>
          </w:rPr>
          <w:t>opi@opi.org.pl</w:t>
        </w:r>
      </w:hyperlink>
      <w:r w:rsidRPr="008D2401">
        <w:rPr>
          <w:rFonts w:ascii="Times New Roman" w:hAnsi="Times New Roman"/>
          <w:sz w:val="22"/>
          <w:szCs w:val="22"/>
        </w:rPr>
        <w:t xml:space="preserve"> lub telefonicznie pod nr 22 570 14 10,</w:t>
      </w:r>
    </w:p>
    <w:p w14:paraId="2E955BDE" w14:textId="77777777" w:rsidR="003F2250" w:rsidRPr="008D2401" w:rsidRDefault="003F2250" w:rsidP="003F2250">
      <w:pPr>
        <w:pStyle w:val="Akapitzlist"/>
        <w:numPr>
          <w:ilvl w:val="0"/>
          <w:numId w:val="19"/>
        </w:numPr>
        <w:spacing w:line="276" w:lineRule="auto"/>
        <w:ind w:left="426" w:right="-355" w:hanging="426"/>
        <w:jc w:val="both"/>
        <w:rPr>
          <w:rFonts w:ascii="Times New Roman" w:hAnsi="Times New Roman"/>
          <w:sz w:val="22"/>
          <w:szCs w:val="22"/>
        </w:rPr>
      </w:pPr>
      <w:r w:rsidRPr="008D2401">
        <w:rPr>
          <w:rFonts w:ascii="Times New Roman" w:hAnsi="Times New Roman"/>
          <w:sz w:val="22"/>
          <w:szCs w:val="22"/>
        </w:rPr>
        <w:t xml:space="preserve">Wyznaczył Inspektora Ochrony Danych, z którym w sprawach dotyczących danych osobowych oraz realizacji praw osób których dane dotyczą można kontaktować się za pomocą poczty elektronicznej pod adresem  </w:t>
      </w:r>
      <w:hyperlink r:id="rId9" w:history="1">
        <w:r w:rsidRPr="008D2401">
          <w:rPr>
            <w:rFonts w:ascii="Times New Roman" w:hAnsi="Times New Roman"/>
            <w:sz w:val="22"/>
            <w:szCs w:val="22"/>
          </w:rPr>
          <w:t>iod@opi.org.pl</w:t>
        </w:r>
      </w:hyperlink>
      <w:r w:rsidRPr="008D2401">
        <w:rPr>
          <w:rFonts w:ascii="Times New Roman" w:hAnsi="Times New Roman"/>
          <w:sz w:val="22"/>
          <w:szCs w:val="22"/>
        </w:rPr>
        <w:t xml:space="preserve"> ,</w:t>
      </w:r>
    </w:p>
    <w:p w14:paraId="32F221F3" w14:textId="77777777" w:rsidR="003F2250" w:rsidRPr="008D2401" w:rsidRDefault="003F2250" w:rsidP="003F2250">
      <w:pPr>
        <w:pStyle w:val="Akapitzlist"/>
        <w:numPr>
          <w:ilvl w:val="0"/>
          <w:numId w:val="19"/>
        </w:numPr>
        <w:tabs>
          <w:tab w:val="left" w:pos="426"/>
        </w:tabs>
        <w:spacing w:line="276" w:lineRule="auto"/>
        <w:ind w:left="426" w:right="-355" w:hanging="426"/>
        <w:contextualSpacing/>
        <w:jc w:val="both"/>
        <w:rPr>
          <w:rFonts w:ascii="Times New Roman" w:hAnsi="Times New Roman"/>
          <w:sz w:val="22"/>
          <w:szCs w:val="22"/>
        </w:rPr>
      </w:pPr>
      <w:r w:rsidRPr="008D2401">
        <w:rPr>
          <w:rFonts w:ascii="Times New Roman" w:hAnsi="Times New Roman"/>
          <w:sz w:val="22"/>
          <w:szCs w:val="22"/>
        </w:rPr>
        <w:t>Dane w celu przesłania zaproszenia do złożenia oferty zostały pozyskane z publicznie dostępnych źródeł tj. Internet.</w:t>
      </w:r>
    </w:p>
    <w:p w14:paraId="0E0D3A00" w14:textId="77777777" w:rsidR="003F2250" w:rsidRPr="008D2401" w:rsidRDefault="003F2250" w:rsidP="003F2250">
      <w:pPr>
        <w:pStyle w:val="Akapitzlist"/>
        <w:numPr>
          <w:ilvl w:val="0"/>
          <w:numId w:val="19"/>
        </w:numPr>
        <w:tabs>
          <w:tab w:val="left" w:pos="567"/>
        </w:tabs>
        <w:spacing w:line="276" w:lineRule="auto"/>
        <w:ind w:left="426" w:hanging="426"/>
        <w:contextualSpacing/>
        <w:jc w:val="both"/>
        <w:rPr>
          <w:rFonts w:ascii="Times New Roman" w:hAnsi="Times New Roman"/>
          <w:sz w:val="22"/>
          <w:szCs w:val="22"/>
        </w:rPr>
      </w:pPr>
      <w:r w:rsidRPr="008D2401">
        <w:rPr>
          <w:rFonts w:ascii="Times New Roman" w:hAnsi="Times New Roman"/>
          <w:sz w:val="22"/>
          <w:szCs w:val="22"/>
        </w:rPr>
        <w:t>Dane osobowe przetwarzane są w następujących celach:</w:t>
      </w:r>
    </w:p>
    <w:p w14:paraId="2C76D9DC" w14:textId="77777777" w:rsidR="003F2250" w:rsidRPr="008D2401" w:rsidRDefault="003F2250" w:rsidP="003F2250">
      <w:pPr>
        <w:pStyle w:val="Akapitzlist"/>
        <w:numPr>
          <w:ilvl w:val="0"/>
          <w:numId w:val="20"/>
        </w:numPr>
        <w:tabs>
          <w:tab w:val="left" w:pos="709"/>
        </w:tabs>
        <w:spacing w:line="276" w:lineRule="auto"/>
        <w:ind w:left="426" w:firstLine="0"/>
        <w:contextualSpacing/>
        <w:rPr>
          <w:rFonts w:ascii="Times New Roman" w:hAnsi="Times New Roman"/>
          <w:sz w:val="22"/>
          <w:szCs w:val="22"/>
        </w:rPr>
      </w:pPr>
      <w:r w:rsidRPr="008D2401">
        <w:rPr>
          <w:rFonts w:ascii="Times New Roman" w:hAnsi="Times New Roman"/>
          <w:sz w:val="22"/>
          <w:szCs w:val="22"/>
        </w:rPr>
        <w:t>przesłania zaproszenia do złożenia oferty,</w:t>
      </w:r>
    </w:p>
    <w:p w14:paraId="669087D0" w14:textId="77777777" w:rsidR="003F2250" w:rsidRPr="008D2401" w:rsidRDefault="003F2250" w:rsidP="003F2250">
      <w:pPr>
        <w:pStyle w:val="Akapitzlist"/>
        <w:numPr>
          <w:ilvl w:val="0"/>
          <w:numId w:val="20"/>
        </w:numPr>
        <w:tabs>
          <w:tab w:val="left" w:pos="709"/>
        </w:tabs>
        <w:spacing w:line="276" w:lineRule="auto"/>
        <w:ind w:left="426" w:firstLine="0"/>
        <w:contextualSpacing/>
        <w:rPr>
          <w:rFonts w:ascii="Times New Roman" w:hAnsi="Times New Roman"/>
          <w:sz w:val="22"/>
          <w:szCs w:val="22"/>
        </w:rPr>
      </w:pPr>
      <w:r w:rsidRPr="008D2401">
        <w:rPr>
          <w:rFonts w:ascii="Times New Roman" w:hAnsi="Times New Roman"/>
          <w:sz w:val="22"/>
          <w:szCs w:val="22"/>
        </w:rPr>
        <w:t>wyboru oferty na realizację zamówienia publicznego,</w:t>
      </w:r>
    </w:p>
    <w:p w14:paraId="51B72DEC" w14:textId="77777777" w:rsidR="003F2250" w:rsidRPr="008D2401" w:rsidRDefault="003F2250" w:rsidP="003F2250">
      <w:pPr>
        <w:pStyle w:val="Akapitzlist"/>
        <w:numPr>
          <w:ilvl w:val="0"/>
          <w:numId w:val="20"/>
        </w:numPr>
        <w:tabs>
          <w:tab w:val="left" w:pos="709"/>
        </w:tabs>
        <w:spacing w:line="276" w:lineRule="auto"/>
        <w:ind w:left="426" w:firstLine="0"/>
        <w:contextualSpacing/>
        <w:rPr>
          <w:rFonts w:ascii="Times New Roman" w:hAnsi="Times New Roman"/>
          <w:sz w:val="22"/>
          <w:szCs w:val="22"/>
        </w:rPr>
      </w:pPr>
      <w:r w:rsidRPr="008D2401">
        <w:rPr>
          <w:rFonts w:ascii="Times New Roman" w:hAnsi="Times New Roman"/>
          <w:sz w:val="22"/>
          <w:szCs w:val="22"/>
        </w:rPr>
        <w:t>ustalenia, obrony lub dochodzenia roszczeń,</w:t>
      </w:r>
    </w:p>
    <w:p w14:paraId="7B699E22" w14:textId="77777777" w:rsidR="003F2250" w:rsidRPr="008D2401" w:rsidRDefault="003F2250" w:rsidP="003F2250">
      <w:pPr>
        <w:pStyle w:val="Akapitzlist"/>
        <w:numPr>
          <w:ilvl w:val="0"/>
          <w:numId w:val="20"/>
        </w:numPr>
        <w:tabs>
          <w:tab w:val="left" w:pos="709"/>
        </w:tabs>
        <w:spacing w:line="276" w:lineRule="auto"/>
        <w:ind w:left="567" w:hanging="141"/>
        <w:contextualSpacing/>
        <w:rPr>
          <w:rFonts w:ascii="Times New Roman" w:hAnsi="Times New Roman"/>
          <w:sz w:val="22"/>
          <w:szCs w:val="22"/>
        </w:rPr>
      </w:pPr>
      <w:r w:rsidRPr="008D2401">
        <w:rPr>
          <w:rFonts w:ascii="Times New Roman" w:hAnsi="Times New Roman"/>
          <w:sz w:val="22"/>
          <w:szCs w:val="22"/>
        </w:rPr>
        <w:t>archiwizacyjnych.</w:t>
      </w:r>
    </w:p>
    <w:p w14:paraId="1DE471AB" w14:textId="77777777" w:rsidR="003F2250" w:rsidRPr="008D2401" w:rsidRDefault="003F2250" w:rsidP="003F2250">
      <w:pPr>
        <w:pStyle w:val="Akapitzlist"/>
        <w:numPr>
          <w:ilvl w:val="0"/>
          <w:numId w:val="19"/>
        </w:numPr>
        <w:spacing w:line="276" w:lineRule="auto"/>
        <w:ind w:left="426" w:right="-355" w:hanging="426"/>
        <w:contextualSpacing/>
        <w:jc w:val="both"/>
        <w:rPr>
          <w:rFonts w:ascii="Times New Roman" w:hAnsi="Times New Roman"/>
          <w:sz w:val="22"/>
          <w:szCs w:val="22"/>
        </w:rPr>
      </w:pPr>
      <w:r w:rsidRPr="008D2401">
        <w:rPr>
          <w:rFonts w:ascii="Times New Roman" w:hAnsi="Times New Roman"/>
          <w:sz w:val="22"/>
          <w:szCs w:val="22"/>
        </w:rPr>
        <w:t>Przesłanką legalizującą przetwarzanie danych osobowych w każdym ze wskazanych powyżej celów jest odpowiednio art. 6 ust. 1 lit. c) oraz art. 6 ust. 1 lit. f) RODO, tj.</w:t>
      </w:r>
    </w:p>
    <w:p w14:paraId="5FE97593" w14:textId="77777777" w:rsidR="003F2250" w:rsidRPr="008D2401" w:rsidRDefault="003F2250" w:rsidP="003F2250">
      <w:pPr>
        <w:pStyle w:val="Akapitzlist"/>
        <w:numPr>
          <w:ilvl w:val="7"/>
          <w:numId w:val="19"/>
        </w:numPr>
        <w:tabs>
          <w:tab w:val="left" w:pos="709"/>
        </w:tabs>
        <w:spacing w:line="276" w:lineRule="auto"/>
        <w:ind w:left="709" w:right="-355" w:hanging="283"/>
        <w:contextualSpacing/>
        <w:jc w:val="both"/>
        <w:rPr>
          <w:rFonts w:ascii="Times New Roman" w:hAnsi="Times New Roman"/>
          <w:sz w:val="22"/>
          <w:szCs w:val="22"/>
        </w:rPr>
      </w:pPr>
      <w:r w:rsidRPr="008D2401">
        <w:rPr>
          <w:rFonts w:ascii="Times New Roman" w:hAnsi="Times New Roman"/>
          <w:sz w:val="22"/>
          <w:szCs w:val="22"/>
        </w:rPr>
        <w:t>w przypadku celu określonego w pkt 5a i 5b przetwarzanie jest niezbędne do wypełnienia obowiązku prawnego ciążącego na administratorze wynikającego z przepisów ustawy z dnia 29 stycznia 2004r. prawo zamówień publicznych i wewnętrznych regulaminów wydanych na tej podstawie,</w:t>
      </w:r>
    </w:p>
    <w:p w14:paraId="1A507B0C" w14:textId="77777777" w:rsidR="003F2250" w:rsidRPr="008D2401" w:rsidRDefault="003F2250" w:rsidP="003F2250">
      <w:pPr>
        <w:pStyle w:val="Akapitzlist"/>
        <w:numPr>
          <w:ilvl w:val="7"/>
          <w:numId w:val="19"/>
        </w:numPr>
        <w:tabs>
          <w:tab w:val="left" w:pos="709"/>
        </w:tabs>
        <w:spacing w:line="276" w:lineRule="auto"/>
        <w:ind w:left="709" w:right="-355" w:hanging="283"/>
        <w:contextualSpacing/>
        <w:jc w:val="both"/>
        <w:rPr>
          <w:rFonts w:ascii="Times New Roman" w:hAnsi="Times New Roman"/>
          <w:sz w:val="22"/>
          <w:szCs w:val="22"/>
        </w:rPr>
      </w:pPr>
      <w:r w:rsidRPr="008D2401">
        <w:rPr>
          <w:rFonts w:ascii="Times New Roman" w:hAnsi="Times New Roman"/>
          <w:sz w:val="22"/>
          <w:szCs w:val="22"/>
        </w:rPr>
        <w:t>w przypadku celu określonego w pkt 5d przetwarzanie jest niezbędne do wypełnienia obowiązku prawnego wynikającego z ustawy z dnia 14 lipca 1983r. o narodowym zasobie archiwalnym i archiwach,</w:t>
      </w:r>
    </w:p>
    <w:p w14:paraId="1C8D2B64" w14:textId="77777777" w:rsidR="003F2250" w:rsidRPr="008D2401" w:rsidRDefault="003F2250" w:rsidP="003F2250">
      <w:pPr>
        <w:pStyle w:val="Akapitzlist"/>
        <w:numPr>
          <w:ilvl w:val="7"/>
          <w:numId w:val="19"/>
        </w:numPr>
        <w:tabs>
          <w:tab w:val="left" w:pos="851"/>
          <w:tab w:val="left" w:pos="993"/>
        </w:tabs>
        <w:spacing w:line="276" w:lineRule="auto"/>
        <w:ind w:left="709" w:right="70" w:hanging="283"/>
        <w:contextualSpacing/>
        <w:jc w:val="both"/>
        <w:rPr>
          <w:rFonts w:ascii="Times New Roman" w:hAnsi="Times New Roman"/>
          <w:sz w:val="22"/>
          <w:szCs w:val="22"/>
        </w:rPr>
      </w:pPr>
      <w:r w:rsidRPr="008D2401">
        <w:rPr>
          <w:rFonts w:ascii="Times New Roman" w:hAnsi="Times New Roman"/>
          <w:sz w:val="22"/>
          <w:szCs w:val="22"/>
        </w:rPr>
        <w:t>w przypadku celu określonego w art. 5c przetwarzanie jest niezbędne dla prawnie usprawiedliwionych celów administratora które przejawiają się w ustaleniu, obronie lub dochodzeniu roszczeń w związku z zaproszeniem do składania ofert.</w:t>
      </w:r>
    </w:p>
    <w:p w14:paraId="6EC65F5C" w14:textId="77777777" w:rsidR="003F2250" w:rsidRPr="008D2401" w:rsidRDefault="003F2250" w:rsidP="003F2250">
      <w:pPr>
        <w:pStyle w:val="Akapitzlist"/>
        <w:numPr>
          <w:ilvl w:val="0"/>
          <w:numId w:val="19"/>
        </w:numPr>
        <w:tabs>
          <w:tab w:val="left" w:pos="426"/>
        </w:tabs>
        <w:spacing w:line="276" w:lineRule="auto"/>
        <w:ind w:left="426" w:hanging="426"/>
        <w:contextualSpacing/>
        <w:jc w:val="both"/>
        <w:rPr>
          <w:rFonts w:ascii="Times New Roman" w:hAnsi="Times New Roman"/>
          <w:sz w:val="22"/>
          <w:szCs w:val="22"/>
        </w:rPr>
      </w:pPr>
      <w:r w:rsidRPr="008D2401">
        <w:rPr>
          <w:rFonts w:ascii="Times New Roman" w:hAnsi="Times New Roman"/>
          <w:sz w:val="22"/>
          <w:szCs w:val="22"/>
        </w:rPr>
        <w:t>Dostęp do danych osobowych mają następujący odbiorcy danych: upoważnieni pracownicy Administratora.</w:t>
      </w:r>
    </w:p>
    <w:p w14:paraId="4B4549ED" w14:textId="77777777" w:rsidR="003F2250" w:rsidRPr="008D2401" w:rsidRDefault="003F2250" w:rsidP="003F2250">
      <w:pPr>
        <w:pStyle w:val="Akapitzlist"/>
        <w:numPr>
          <w:ilvl w:val="0"/>
          <w:numId w:val="19"/>
        </w:numPr>
        <w:tabs>
          <w:tab w:val="left" w:pos="426"/>
        </w:tabs>
        <w:spacing w:line="276" w:lineRule="auto"/>
        <w:ind w:left="0" w:firstLine="0"/>
        <w:contextualSpacing/>
        <w:jc w:val="both"/>
        <w:rPr>
          <w:rFonts w:ascii="Times New Roman" w:hAnsi="Times New Roman"/>
          <w:sz w:val="22"/>
          <w:szCs w:val="22"/>
        </w:rPr>
      </w:pPr>
      <w:r w:rsidRPr="008D2401">
        <w:rPr>
          <w:rFonts w:ascii="Times New Roman" w:hAnsi="Times New Roman"/>
          <w:sz w:val="22"/>
          <w:szCs w:val="22"/>
        </w:rPr>
        <w:t>Osoba której dane dotyczą może skorzystać wobec Administratora z następujących praw:</w:t>
      </w:r>
    </w:p>
    <w:p w14:paraId="3C31EC87" w14:textId="77777777" w:rsidR="003F2250" w:rsidRPr="008D2401" w:rsidRDefault="003F2250" w:rsidP="003F2250">
      <w:pPr>
        <w:pStyle w:val="Akapitzlist"/>
        <w:numPr>
          <w:ilvl w:val="7"/>
          <w:numId w:val="19"/>
        </w:numPr>
        <w:tabs>
          <w:tab w:val="left" w:pos="709"/>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prawa do żądania dostępu do swoich danych osobowych oraz do ich sprostowania (art. 15 i art. 16 RODO). W przypadku prawa do sprostowania danych, nie może ono skutkować zmianą elementów oferty podlegających ocenie, zgłoszonych po terminie na przesłanie ofert.</w:t>
      </w:r>
    </w:p>
    <w:p w14:paraId="624BD24E" w14:textId="77777777" w:rsidR="003F2250" w:rsidRPr="008D2401" w:rsidRDefault="003F2250" w:rsidP="003F2250">
      <w:pPr>
        <w:pStyle w:val="Akapitzlist"/>
        <w:numPr>
          <w:ilvl w:val="7"/>
          <w:numId w:val="19"/>
        </w:numPr>
        <w:tabs>
          <w:tab w:val="left" w:pos="142"/>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prawa do ograniczenia przetwarzania jej danych w sytuacjach i na zasadach wskazanych w art. 18 RODO,</w:t>
      </w:r>
    </w:p>
    <w:p w14:paraId="11CFDD52" w14:textId="77777777" w:rsidR="003F2250" w:rsidRPr="008D2401" w:rsidRDefault="003F2250" w:rsidP="003F2250">
      <w:pPr>
        <w:pStyle w:val="Akapitzlist"/>
        <w:numPr>
          <w:ilvl w:val="7"/>
          <w:numId w:val="19"/>
        </w:numPr>
        <w:tabs>
          <w:tab w:val="left" w:pos="709"/>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prawa do wniesienia sprzeciwu w przypadku przetwarzania danych w oparciu o przesłankę prawnie usprawiedliwionego celu, chyba że wykaże istnienie podstaw do ustalenia, dochodzenia lub obrony roszczeń,</w:t>
      </w:r>
    </w:p>
    <w:p w14:paraId="6E6A443D" w14:textId="77777777" w:rsidR="003F2250" w:rsidRPr="008D2401" w:rsidRDefault="003F2250" w:rsidP="003F2250">
      <w:pPr>
        <w:pStyle w:val="Akapitzlist"/>
        <w:numPr>
          <w:ilvl w:val="7"/>
          <w:numId w:val="19"/>
        </w:numPr>
        <w:tabs>
          <w:tab w:val="left" w:pos="709"/>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lastRenderedPageBreak/>
        <w:t>osoba, której dane dotyczą ma prawo wnieść w skargę na przetwarzanie jej danych osobowych przez Administratora do Prezesa Urzędu Ochrony Danych Osobowych (adres: ul. Stawki 2, 00-193 Warszawa),</w:t>
      </w:r>
    </w:p>
    <w:p w14:paraId="7DC8D3DD" w14:textId="77777777" w:rsidR="003F2250" w:rsidRPr="008D2401" w:rsidRDefault="003F2250" w:rsidP="003F2250">
      <w:pPr>
        <w:pStyle w:val="Akapitzlist"/>
        <w:numPr>
          <w:ilvl w:val="7"/>
          <w:numId w:val="19"/>
        </w:numPr>
        <w:tabs>
          <w:tab w:val="left" w:pos="709"/>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 xml:space="preserve">prawa, o których mowa w art. 17 i 22 RODO ze względu na brak spełnienia określonych w nich przesłanek w prowadzonym postępowaniu na wybór najlepszej oferty nie będą realizowane.     </w:t>
      </w:r>
    </w:p>
    <w:p w14:paraId="1C74C14B" w14:textId="77777777" w:rsidR="003F2250" w:rsidRPr="008D2401" w:rsidRDefault="003F2250" w:rsidP="003F2250">
      <w:pPr>
        <w:pStyle w:val="Akapitzlist"/>
        <w:numPr>
          <w:ilvl w:val="0"/>
          <w:numId w:val="19"/>
        </w:numPr>
        <w:tabs>
          <w:tab w:val="left" w:pos="426"/>
        </w:tabs>
        <w:spacing w:line="276" w:lineRule="auto"/>
        <w:ind w:left="0" w:firstLine="0"/>
        <w:contextualSpacing/>
        <w:jc w:val="both"/>
        <w:rPr>
          <w:rFonts w:ascii="Times New Roman" w:hAnsi="Times New Roman"/>
          <w:sz w:val="22"/>
          <w:szCs w:val="22"/>
        </w:rPr>
      </w:pPr>
      <w:r w:rsidRPr="008D2401">
        <w:rPr>
          <w:rFonts w:ascii="Times New Roman" w:hAnsi="Times New Roman"/>
          <w:sz w:val="22"/>
          <w:szCs w:val="22"/>
        </w:rPr>
        <w:t>Dane osobowe będą przechowywane:</w:t>
      </w:r>
    </w:p>
    <w:p w14:paraId="46282566" w14:textId="77777777" w:rsidR="003F2250" w:rsidRPr="008D2401" w:rsidRDefault="003F2250" w:rsidP="003F2250">
      <w:pPr>
        <w:pStyle w:val="Akapitzlist"/>
        <w:numPr>
          <w:ilvl w:val="7"/>
          <w:numId w:val="19"/>
        </w:numPr>
        <w:tabs>
          <w:tab w:val="left" w:pos="0"/>
          <w:tab w:val="left" w:pos="142"/>
          <w:tab w:val="left" w:pos="851"/>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 xml:space="preserve">przez okres 5 lat od końca roku w którym zakończono postępowanie ofertowe, </w:t>
      </w:r>
    </w:p>
    <w:p w14:paraId="0D2F9B04" w14:textId="77777777" w:rsidR="003F2250" w:rsidRPr="008D2401" w:rsidRDefault="003F2250" w:rsidP="003F2250">
      <w:pPr>
        <w:pStyle w:val="Akapitzlist"/>
        <w:numPr>
          <w:ilvl w:val="7"/>
          <w:numId w:val="19"/>
        </w:numPr>
        <w:tabs>
          <w:tab w:val="left" w:pos="0"/>
          <w:tab w:val="left" w:pos="709"/>
        </w:tabs>
        <w:spacing w:line="276" w:lineRule="auto"/>
        <w:ind w:left="709" w:hanging="283"/>
        <w:contextualSpacing/>
        <w:jc w:val="both"/>
        <w:rPr>
          <w:rFonts w:ascii="Times New Roman" w:hAnsi="Times New Roman"/>
          <w:sz w:val="22"/>
          <w:szCs w:val="22"/>
        </w:rPr>
      </w:pPr>
      <w:r w:rsidRPr="008D2401">
        <w:rPr>
          <w:rFonts w:ascii="Times New Roman" w:hAnsi="Times New Roman"/>
          <w:sz w:val="22"/>
          <w:szCs w:val="22"/>
        </w:rPr>
        <w:t>w celach archiwalnych zgodnie z okresami przewidzianymi dla tych celów przez przepisy o narodowym zasobie archiwalnym i archiwach.</w:t>
      </w:r>
    </w:p>
    <w:p w14:paraId="765A9D93" w14:textId="77777777" w:rsidR="003F2250" w:rsidRPr="008D2401" w:rsidRDefault="003F2250" w:rsidP="003F2250">
      <w:pPr>
        <w:pStyle w:val="Akapitzlist"/>
        <w:numPr>
          <w:ilvl w:val="0"/>
          <w:numId w:val="19"/>
        </w:numPr>
        <w:spacing w:line="276" w:lineRule="auto"/>
        <w:ind w:left="426" w:hanging="426"/>
        <w:contextualSpacing/>
        <w:jc w:val="both"/>
        <w:rPr>
          <w:rFonts w:ascii="Times New Roman" w:hAnsi="Times New Roman"/>
          <w:sz w:val="22"/>
          <w:szCs w:val="22"/>
        </w:rPr>
      </w:pPr>
      <w:r w:rsidRPr="008D2401">
        <w:rPr>
          <w:rFonts w:ascii="Times New Roman" w:hAnsi="Times New Roman"/>
          <w:sz w:val="22"/>
          <w:szCs w:val="22"/>
        </w:rPr>
        <w:t>Podanie danych osobowych jest dobrowolne jednak niezbędne do udziału w wyborze najkorzystniejszej oferty na realizację zamówienia publicznego. Niepodanie danych osobowych skutkuje brakiem udziału w postępowaniu ofertowym i oceny złożonej oferty oraz zawarcia umowy na realizację zamówienia.</w:t>
      </w:r>
    </w:p>
    <w:p w14:paraId="657D1BB5" w14:textId="77777777" w:rsidR="003F2250" w:rsidRPr="008D2401" w:rsidRDefault="003F2250" w:rsidP="003F2250">
      <w:pPr>
        <w:spacing w:line="276" w:lineRule="auto"/>
        <w:jc w:val="both"/>
        <w:rPr>
          <w:rFonts w:ascii="Times New Roman" w:hAnsi="Times New Roman" w:cs="Times New Roman"/>
          <w:sz w:val="24"/>
          <w:szCs w:val="24"/>
        </w:rPr>
      </w:pPr>
    </w:p>
    <w:p w14:paraId="0B9CE020" w14:textId="77777777" w:rsidR="003F2250" w:rsidRPr="008D2401" w:rsidRDefault="003F2250" w:rsidP="00B34243">
      <w:pPr>
        <w:spacing w:after="0" w:line="276" w:lineRule="auto"/>
        <w:ind w:left="360"/>
        <w:jc w:val="both"/>
        <w:rPr>
          <w:rFonts w:ascii="Times New Roman" w:hAnsi="Times New Roman" w:cs="Times New Roman"/>
          <w:b/>
          <w:sz w:val="24"/>
          <w:szCs w:val="24"/>
        </w:rPr>
      </w:pPr>
    </w:p>
    <w:sectPr w:rsidR="003F2250" w:rsidRPr="008D2401" w:rsidSect="00ED7D89">
      <w:headerReference w:type="default" r:id="rId10"/>
      <w:footerReference w:type="default" r:id="rId11"/>
      <w:headerReference w:type="first" r:id="rId12"/>
      <w:footerReference w:type="first" r:id="rId13"/>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E87C" w14:textId="77777777" w:rsidR="00323F5E" w:rsidRDefault="00323F5E" w:rsidP="00857979">
      <w:pPr>
        <w:spacing w:after="0" w:line="240" w:lineRule="auto"/>
      </w:pPr>
      <w:r>
        <w:separator/>
      </w:r>
    </w:p>
  </w:endnote>
  <w:endnote w:type="continuationSeparator" w:id="0">
    <w:p w14:paraId="3B27BF34" w14:textId="77777777" w:rsidR="00323F5E" w:rsidRDefault="00323F5E"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ova">
    <w:altName w:val="Arial Nova Light"/>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D12F" w14:textId="77777777" w:rsidR="00857979" w:rsidRDefault="00376C28">
    <w:pPr>
      <w:pStyle w:val="Stopka"/>
    </w:pPr>
    <w:r>
      <w:rPr>
        <w:noProof/>
        <w:lang w:eastAsia="pl-PL"/>
      </w:rPr>
      <w:drawing>
        <wp:anchor distT="0" distB="0" distL="114300" distR="114300" simplePos="0" relativeHeight="251666432" behindDoc="0" locked="0" layoutInCell="1" allowOverlap="1" wp14:anchorId="2C404FE4" wp14:editId="3A45ABAE">
          <wp:simplePos x="0" y="0"/>
          <wp:positionH relativeFrom="column">
            <wp:posOffset>-720088</wp:posOffset>
          </wp:positionH>
          <wp:positionV relativeFrom="paragraph">
            <wp:posOffset>-711271</wp:posOffset>
          </wp:positionV>
          <wp:extent cx="7595691" cy="87936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POPC-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95691" cy="879367"/>
                  </a:xfrm>
                  <a:prstGeom prst="rect">
                    <a:avLst/>
                  </a:prstGeom>
                </pic:spPr>
              </pic:pic>
            </a:graphicData>
          </a:graphic>
          <wp14:sizeRelH relativeFrom="page">
            <wp14:pctWidth>0</wp14:pctWidth>
          </wp14:sizeRelH>
          <wp14:sizeRelV relativeFrom="page">
            <wp14:pctHeight>0</wp14:pctHeight>
          </wp14:sizeRelV>
        </wp:anchor>
      </w:drawing>
    </w:r>
    <w:r w:rsidR="00CA6C41">
      <w:rPr>
        <w:noProof/>
        <w:lang w:eastAsia="pl-PL"/>
      </w:rPr>
      <w:drawing>
        <wp:anchor distT="0" distB="0" distL="114300" distR="114300" simplePos="0" relativeHeight="251665408" behindDoc="0" locked="0" layoutInCell="1" allowOverlap="1" wp14:anchorId="1DD8017D" wp14:editId="02BDD2A2">
          <wp:simplePos x="0" y="0"/>
          <wp:positionH relativeFrom="column">
            <wp:posOffset>-689610</wp:posOffset>
          </wp:positionH>
          <wp:positionV relativeFrom="paragraph">
            <wp:posOffset>996315</wp:posOffset>
          </wp:positionV>
          <wp:extent cx="7492365" cy="864235"/>
          <wp:effectExtent l="0" t="0" r="635" b="0"/>
          <wp:wrapNone/>
          <wp:docPr id="1" name="Picture 4" descr="papier-POIR-uzupelniajacy-[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B21D" w14:textId="77777777" w:rsidR="00857979" w:rsidRDefault="009F715D" w:rsidP="00ED7D89">
    <w:pPr>
      <w:pStyle w:val="Stopka"/>
      <w:ind w:hanging="1134"/>
    </w:pPr>
    <w:r>
      <w:rPr>
        <w:noProof/>
        <w:lang w:eastAsia="pl-PL"/>
      </w:rPr>
      <w:drawing>
        <wp:inline distT="0" distB="0" distL="0" distR="0" wp14:anchorId="0418D84A" wp14:editId="482E479A">
          <wp:extent cx="7554929" cy="1800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554929" cy="18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164A7" w14:textId="77777777" w:rsidR="00323F5E" w:rsidRDefault="00323F5E" w:rsidP="00857979">
      <w:pPr>
        <w:spacing w:after="0" w:line="240" w:lineRule="auto"/>
      </w:pPr>
      <w:r>
        <w:separator/>
      </w:r>
    </w:p>
  </w:footnote>
  <w:footnote w:type="continuationSeparator" w:id="0">
    <w:p w14:paraId="7F89CF96" w14:textId="77777777" w:rsidR="00323F5E" w:rsidRDefault="00323F5E" w:rsidP="0085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D283" w14:textId="77777777" w:rsidR="00857979" w:rsidRDefault="00CA6C41">
    <w:pPr>
      <w:pStyle w:val="Nagwek"/>
    </w:pPr>
    <w:r>
      <w:rPr>
        <w:noProof/>
        <w:lang w:eastAsia="pl-PL"/>
      </w:rPr>
      <w:drawing>
        <wp:anchor distT="0" distB="0" distL="114300" distR="114300" simplePos="0" relativeHeight="251663360" behindDoc="0" locked="0" layoutInCell="1" allowOverlap="1" wp14:anchorId="212D1995" wp14:editId="5A3B33D5">
          <wp:simplePos x="0" y="0"/>
          <wp:positionH relativeFrom="column">
            <wp:posOffset>-715010</wp:posOffset>
          </wp:positionH>
          <wp:positionV relativeFrom="paragraph">
            <wp:posOffset>-447040</wp:posOffset>
          </wp:positionV>
          <wp:extent cx="7538720" cy="1440180"/>
          <wp:effectExtent l="0" t="0" r="5080" b="0"/>
          <wp:wrapNone/>
          <wp:docPr id="2" name="Picture 3" descr="papier-POIR-uzupelniajacy-[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9BD7" w14:textId="77777777" w:rsidR="00857979" w:rsidRDefault="00DB4A46">
    <w:pPr>
      <w:pStyle w:val="Nagwek"/>
    </w:pPr>
    <w:r>
      <w:rPr>
        <w:noProof/>
        <w:lang w:eastAsia="pl-PL"/>
      </w:rPr>
      <w:drawing>
        <wp:anchor distT="0" distB="0" distL="114300" distR="114300" simplePos="0" relativeHeight="251659264" behindDoc="0" locked="0" layoutInCell="1" allowOverlap="1" wp14:anchorId="4746497F" wp14:editId="6E7E7344">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581"/>
    <w:multiLevelType w:val="hybridMultilevel"/>
    <w:tmpl w:val="CD12C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D945CD"/>
    <w:multiLevelType w:val="hybridMultilevel"/>
    <w:tmpl w:val="FEF2127C"/>
    <w:lvl w:ilvl="0" w:tplc="7122951E">
      <w:start w:val="1"/>
      <w:numFmt w:val="decimal"/>
      <w:lvlText w:val="%1)"/>
      <w:lvlJc w:val="left"/>
      <w:pPr>
        <w:ind w:left="1713" w:hanging="360"/>
      </w:pPr>
      <w:rPr>
        <w:rFonts w:hint="default"/>
        <w:strike w:val="0"/>
      </w:rPr>
    </w:lvl>
    <w:lvl w:ilvl="1" w:tplc="0415000B">
      <w:start w:val="1"/>
      <w:numFmt w:val="bullet"/>
      <w:lvlText w:val=""/>
      <w:lvlJc w:val="left"/>
      <w:pPr>
        <w:ind w:left="2433" w:hanging="360"/>
      </w:pPr>
      <w:rPr>
        <w:rFonts w:ascii="Wingdings" w:hAnsi="Wingding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09C33D0E"/>
    <w:multiLevelType w:val="hybridMultilevel"/>
    <w:tmpl w:val="63F883C2"/>
    <w:lvl w:ilvl="0" w:tplc="29A4F1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E65A7"/>
    <w:multiLevelType w:val="hybridMultilevel"/>
    <w:tmpl w:val="13B8F16C"/>
    <w:lvl w:ilvl="0" w:tplc="04150011">
      <w:start w:val="1"/>
      <w:numFmt w:val="decimal"/>
      <w:lvlText w:val="%1)"/>
      <w:lvlJc w:val="left"/>
      <w:pPr>
        <w:ind w:left="1713" w:hanging="360"/>
      </w:pPr>
      <w:rPr>
        <w:rFonts w:hint="default"/>
      </w:rPr>
    </w:lvl>
    <w:lvl w:ilvl="1" w:tplc="04150005">
      <w:start w:val="1"/>
      <w:numFmt w:val="bullet"/>
      <w:lvlText w:val=""/>
      <w:lvlJc w:val="left"/>
      <w:pPr>
        <w:ind w:left="2433" w:hanging="360"/>
      </w:pPr>
      <w:rPr>
        <w:rFonts w:ascii="Wingdings" w:hAnsi="Wingding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15DB2426"/>
    <w:multiLevelType w:val="hybridMultilevel"/>
    <w:tmpl w:val="EB7A259A"/>
    <w:lvl w:ilvl="0" w:tplc="0415000F">
      <w:start w:val="1"/>
      <w:numFmt w:val="decimal"/>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F20EDA"/>
    <w:multiLevelType w:val="hybridMultilevel"/>
    <w:tmpl w:val="F26492BC"/>
    <w:lvl w:ilvl="0" w:tplc="6A9424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62644D"/>
    <w:multiLevelType w:val="hybridMultilevel"/>
    <w:tmpl w:val="39F62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A138CE"/>
    <w:multiLevelType w:val="hybridMultilevel"/>
    <w:tmpl w:val="E9AE6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FC77CF"/>
    <w:multiLevelType w:val="hybridMultilevel"/>
    <w:tmpl w:val="897AA074"/>
    <w:lvl w:ilvl="0" w:tplc="195656BA">
      <w:start w:val="1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80AE3"/>
    <w:multiLevelType w:val="multilevel"/>
    <w:tmpl w:val="BDB2099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402909"/>
    <w:multiLevelType w:val="hybridMultilevel"/>
    <w:tmpl w:val="3DE26304"/>
    <w:lvl w:ilvl="0" w:tplc="FFC48F42">
      <w:start w:val="1"/>
      <w:numFmt w:val="decimal"/>
      <w:lvlText w:val="%1."/>
      <w:lvlJc w:val="left"/>
      <w:pPr>
        <w:tabs>
          <w:tab w:val="num" w:pos="1080"/>
        </w:tabs>
        <w:ind w:left="1080" w:hanging="360"/>
      </w:pPr>
      <w:rPr>
        <w:b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61B7B0E"/>
    <w:multiLevelType w:val="hybridMultilevel"/>
    <w:tmpl w:val="31AE4CB4"/>
    <w:lvl w:ilvl="0" w:tplc="06844EB0">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FF263C8"/>
    <w:multiLevelType w:val="hybridMultilevel"/>
    <w:tmpl w:val="52201776"/>
    <w:lvl w:ilvl="0" w:tplc="449686DE">
      <w:start w:val="1"/>
      <w:numFmt w:val="decimal"/>
      <w:lvlText w:val="%1."/>
      <w:lvlJc w:val="left"/>
      <w:pPr>
        <w:ind w:left="-208" w:hanging="360"/>
      </w:pPr>
      <w:rPr>
        <w:rFonts w:hint="default"/>
      </w:rPr>
    </w:lvl>
    <w:lvl w:ilvl="1" w:tplc="D8943B42">
      <w:start w:val="10"/>
      <w:numFmt w:val="decimal"/>
      <w:lvlText w:val="%2"/>
      <w:lvlJc w:val="left"/>
      <w:pPr>
        <w:ind w:left="512" w:hanging="360"/>
      </w:pPr>
      <w:rPr>
        <w:rFonts w:hint="default"/>
      </w:r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start w:val="1"/>
      <w:numFmt w:val="decimal"/>
      <w:lvlText w:val="%7."/>
      <w:lvlJc w:val="left"/>
      <w:pPr>
        <w:ind w:left="4112" w:hanging="360"/>
      </w:pPr>
    </w:lvl>
    <w:lvl w:ilvl="7" w:tplc="04150011">
      <w:start w:val="1"/>
      <w:numFmt w:val="decimal"/>
      <w:lvlText w:val="%8)"/>
      <w:lvlJc w:val="left"/>
      <w:pPr>
        <w:ind w:left="4832" w:hanging="360"/>
      </w:pPr>
    </w:lvl>
    <w:lvl w:ilvl="8" w:tplc="0415001B" w:tentative="1">
      <w:start w:val="1"/>
      <w:numFmt w:val="lowerRoman"/>
      <w:lvlText w:val="%9."/>
      <w:lvlJc w:val="right"/>
      <w:pPr>
        <w:ind w:left="5552" w:hanging="180"/>
      </w:pPr>
    </w:lvl>
  </w:abstractNum>
  <w:abstractNum w:abstractNumId="13" w15:restartNumberingAfterBreak="0">
    <w:nsid w:val="44343C7E"/>
    <w:multiLevelType w:val="hybridMultilevel"/>
    <w:tmpl w:val="F064ADF4"/>
    <w:lvl w:ilvl="0" w:tplc="F36E6EBA">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E41323"/>
    <w:multiLevelType w:val="hybridMultilevel"/>
    <w:tmpl w:val="1186B6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B461B7"/>
    <w:multiLevelType w:val="hybridMultilevel"/>
    <w:tmpl w:val="74B00B1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7203796"/>
    <w:multiLevelType w:val="hybridMultilevel"/>
    <w:tmpl w:val="0534F2A6"/>
    <w:lvl w:ilvl="0" w:tplc="E57E9776">
      <w:start w:val="1"/>
      <w:numFmt w:val="lowerLetter"/>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626D79"/>
    <w:multiLevelType w:val="multilevel"/>
    <w:tmpl w:val="9BD4AA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rPr>
    </w:lvl>
    <w:lvl w:ilvl="2">
      <w:start w:val="1"/>
      <w:numFmt w:val="lowerLetter"/>
      <w:lvlText w:val="%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CD700D7"/>
    <w:multiLevelType w:val="hybridMultilevel"/>
    <w:tmpl w:val="21F40D6A"/>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5D8E5F50"/>
    <w:multiLevelType w:val="multilevel"/>
    <w:tmpl w:val="77162D3A"/>
    <w:lvl w:ilvl="0">
      <w:start w:val="6"/>
      <w:numFmt w:val="decimal"/>
      <w:lvlText w:val="%1."/>
      <w:lvlJc w:val="left"/>
      <w:pPr>
        <w:ind w:left="360" w:hanging="360"/>
      </w:pPr>
      <w:rPr>
        <w:rFonts w:hint="default"/>
        <w:i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0" w15:restartNumberingAfterBreak="0">
    <w:nsid w:val="656111D2"/>
    <w:multiLevelType w:val="hybridMultilevel"/>
    <w:tmpl w:val="B71AD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D36B01"/>
    <w:multiLevelType w:val="hybridMultilevel"/>
    <w:tmpl w:val="86200168"/>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D4B23F6"/>
    <w:multiLevelType w:val="hybridMultilevel"/>
    <w:tmpl w:val="5D8678B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E4F1F94"/>
    <w:multiLevelType w:val="hybridMultilevel"/>
    <w:tmpl w:val="EC761CAA"/>
    <w:lvl w:ilvl="0" w:tplc="F82C6F96">
      <w:start w:val="1"/>
      <w:numFmt w:val="lowerLetter"/>
      <w:lvlText w:val="%1)"/>
      <w:lvlJc w:val="left"/>
      <w:pPr>
        <w:ind w:left="1713" w:hanging="360"/>
      </w:pPr>
      <w:rPr>
        <w:rFonts w:ascii="Times New Roman" w:eastAsiaTheme="minorHAnsi" w:hAnsi="Times New Roman" w:cs="Times New Roman"/>
      </w:rPr>
    </w:lvl>
    <w:lvl w:ilvl="1" w:tplc="0415000B">
      <w:start w:val="1"/>
      <w:numFmt w:val="bullet"/>
      <w:lvlText w:val=""/>
      <w:lvlJc w:val="left"/>
      <w:pPr>
        <w:ind w:left="2433" w:hanging="360"/>
      </w:pPr>
      <w:rPr>
        <w:rFonts w:ascii="Wingdings" w:hAnsi="Wingding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70C04C66"/>
    <w:multiLevelType w:val="hybridMultilevel"/>
    <w:tmpl w:val="6DBA1A76"/>
    <w:lvl w:ilvl="0" w:tplc="D206D8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B3607ED"/>
    <w:multiLevelType w:val="hybridMultilevel"/>
    <w:tmpl w:val="8DB62AF0"/>
    <w:lvl w:ilvl="0" w:tplc="EA2A074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3"/>
  </w:num>
  <w:num w:numId="8">
    <w:abstractNumId w:val="23"/>
  </w:num>
  <w:num w:numId="9">
    <w:abstractNumId w:val="19"/>
  </w:num>
  <w:num w:numId="10">
    <w:abstractNumId w:val="9"/>
  </w:num>
  <w:num w:numId="11">
    <w:abstractNumId w:val="18"/>
  </w:num>
  <w:num w:numId="12">
    <w:abstractNumId w:val="2"/>
  </w:num>
  <w:num w:numId="13">
    <w:abstractNumId w:val="10"/>
  </w:num>
  <w:num w:numId="14">
    <w:abstractNumId w:val="5"/>
  </w:num>
  <w:num w:numId="15">
    <w:abstractNumId w:val="13"/>
  </w:num>
  <w:num w:numId="16">
    <w:abstractNumId w:val="4"/>
  </w:num>
  <w:num w:numId="17">
    <w:abstractNumId w:val="26"/>
  </w:num>
  <w:num w:numId="18">
    <w:abstractNumId w:val="8"/>
  </w:num>
  <w:num w:numId="19">
    <w:abstractNumId w:val="12"/>
  </w:num>
  <w:num w:numId="20">
    <w:abstractNumId w:val="16"/>
  </w:num>
  <w:num w:numId="21">
    <w:abstractNumId w:val="7"/>
  </w:num>
  <w:num w:numId="22">
    <w:abstractNumId w:val="25"/>
  </w:num>
  <w:num w:numId="23">
    <w:abstractNumId w:val="2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0694C"/>
    <w:rsid w:val="000208C1"/>
    <w:rsid w:val="000409CA"/>
    <w:rsid w:val="000672EF"/>
    <w:rsid w:val="00075D9B"/>
    <w:rsid w:val="00090124"/>
    <w:rsid w:val="00095407"/>
    <w:rsid w:val="00127554"/>
    <w:rsid w:val="001E689C"/>
    <w:rsid w:val="001F3926"/>
    <w:rsid w:val="001F6658"/>
    <w:rsid w:val="00241C83"/>
    <w:rsid w:val="003175DB"/>
    <w:rsid w:val="00323F5E"/>
    <w:rsid w:val="00362978"/>
    <w:rsid w:val="00376C28"/>
    <w:rsid w:val="003B66FA"/>
    <w:rsid w:val="003E542A"/>
    <w:rsid w:val="003F2250"/>
    <w:rsid w:val="004103EC"/>
    <w:rsid w:val="00411AB4"/>
    <w:rsid w:val="0042143F"/>
    <w:rsid w:val="004533EF"/>
    <w:rsid w:val="00455DF0"/>
    <w:rsid w:val="00477EA2"/>
    <w:rsid w:val="0049674A"/>
    <w:rsid w:val="004C001C"/>
    <w:rsid w:val="004D7364"/>
    <w:rsid w:val="004F3D87"/>
    <w:rsid w:val="005471F2"/>
    <w:rsid w:val="005928A3"/>
    <w:rsid w:val="005A1334"/>
    <w:rsid w:val="00606647"/>
    <w:rsid w:val="00621FD2"/>
    <w:rsid w:val="00674D2C"/>
    <w:rsid w:val="00696E58"/>
    <w:rsid w:val="006A4EFB"/>
    <w:rsid w:val="006E3BA0"/>
    <w:rsid w:val="00786F7B"/>
    <w:rsid w:val="0079624B"/>
    <w:rsid w:val="007E6932"/>
    <w:rsid w:val="00827E5B"/>
    <w:rsid w:val="00857979"/>
    <w:rsid w:val="008A211B"/>
    <w:rsid w:val="008D2401"/>
    <w:rsid w:val="008F0454"/>
    <w:rsid w:val="00900A32"/>
    <w:rsid w:val="009131E2"/>
    <w:rsid w:val="009230C7"/>
    <w:rsid w:val="00931B9A"/>
    <w:rsid w:val="00955E3E"/>
    <w:rsid w:val="00957233"/>
    <w:rsid w:val="00966C9A"/>
    <w:rsid w:val="00991E83"/>
    <w:rsid w:val="0099712E"/>
    <w:rsid w:val="009C2A97"/>
    <w:rsid w:val="009F715D"/>
    <w:rsid w:val="00A96F54"/>
    <w:rsid w:val="00AB3967"/>
    <w:rsid w:val="00B115B0"/>
    <w:rsid w:val="00B14151"/>
    <w:rsid w:val="00B34243"/>
    <w:rsid w:val="00B342A9"/>
    <w:rsid w:val="00B412EC"/>
    <w:rsid w:val="00B70CA6"/>
    <w:rsid w:val="00C276B0"/>
    <w:rsid w:val="00C4243E"/>
    <w:rsid w:val="00C71372"/>
    <w:rsid w:val="00CA6C41"/>
    <w:rsid w:val="00CB6955"/>
    <w:rsid w:val="00CB72FD"/>
    <w:rsid w:val="00D5257B"/>
    <w:rsid w:val="00DA51BD"/>
    <w:rsid w:val="00DA7B40"/>
    <w:rsid w:val="00DB4A46"/>
    <w:rsid w:val="00DF44A6"/>
    <w:rsid w:val="00E137B2"/>
    <w:rsid w:val="00E33C14"/>
    <w:rsid w:val="00E924C5"/>
    <w:rsid w:val="00ED7D89"/>
    <w:rsid w:val="00F2126F"/>
    <w:rsid w:val="00F51831"/>
    <w:rsid w:val="00F956E6"/>
    <w:rsid w:val="00FA60BD"/>
    <w:rsid w:val="00FD7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F098775"/>
  <w15:docId w15:val="{4F8EA7BE-2299-4572-A77E-835DECB9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77E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EA2"/>
    <w:rPr>
      <w:rFonts w:ascii="Tahoma" w:hAnsi="Tahoma" w:cs="Tahoma"/>
      <w:sz w:val="16"/>
      <w:szCs w:val="16"/>
    </w:rPr>
  </w:style>
  <w:style w:type="paragraph" w:styleId="Akapitzlist">
    <w:name w:val="List Paragraph"/>
    <w:aliases w:val="L1,Numerowanie,Tytuły tabel i wykresów,Podsis rysunku,CW_Lista,sw tekst,Adresat stanowisko"/>
    <w:basedOn w:val="Normalny"/>
    <w:link w:val="AkapitzlistZnak"/>
    <w:uiPriority w:val="34"/>
    <w:qFormat/>
    <w:rsid w:val="000672EF"/>
    <w:pPr>
      <w:spacing w:after="0" w:line="240" w:lineRule="auto"/>
      <w:ind w:left="720"/>
    </w:pPr>
    <w:rPr>
      <w:rFonts w:ascii="Calibri" w:eastAsia="Times New Roman" w:hAnsi="Calibri" w:cs="Times New Roman"/>
      <w:sz w:val="24"/>
      <w:szCs w:val="24"/>
      <w:lang w:bidi="en-US"/>
    </w:rPr>
  </w:style>
  <w:style w:type="character" w:customStyle="1" w:styleId="AkapitzlistZnak">
    <w:name w:val="Akapit z listą Znak"/>
    <w:aliases w:val="L1 Znak,Numerowanie Znak,Tytuły tabel i wykresów Znak,Podsis rysunku Znak,CW_Lista Znak,sw tekst Znak,Adresat stanowisko Znak"/>
    <w:link w:val="Akapitzlist"/>
    <w:uiPriority w:val="34"/>
    <w:qFormat/>
    <w:locked/>
    <w:rsid w:val="000672EF"/>
    <w:rPr>
      <w:rFonts w:ascii="Calibri" w:eastAsia="Times New Roman" w:hAnsi="Calibri" w:cs="Times New Roman"/>
      <w:sz w:val="24"/>
      <w:szCs w:val="24"/>
      <w:lang w:bidi="en-US"/>
    </w:rPr>
  </w:style>
  <w:style w:type="character" w:styleId="Odwoaniedokomentarza">
    <w:name w:val="annotation reference"/>
    <w:basedOn w:val="Domylnaczcionkaakapitu"/>
    <w:uiPriority w:val="99"/>
    <w:semiHidden/>
    <w:unhideWhenUsed/>
    <w:rsid w:val="000672EF"/>
    <w:rPr>
      <w:sz w:val="16"/>
      <w:szCs w:val="16"/>
    </w:rPr>
  </w:style>
  <w:style w:type="paragraph" w:styleId="Tekstkomentarza">
    <w:name w:val="annotation text"/>
    <w:basedOn w:val="Normalny"/>
    <w:link w:val="TekstkomentarzaZnak"/>
    <w:uiPriority w:val="99"/>
    <w:semiHidden/>
    <w:unhideWhenUsed/>
    <w:rsid w:val="000672EF"/>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0672EF"/>
    <w:rPr>
      <w:rFonts w:ascii="Verdana" w:eastAsia="Times New Roman" w:hAnsi="Verdana" w:cs="Times New Roman"/>
      <w:sz w:val="20"/>
      <w:szCs w:val="20"/>
      <w:lang w:eastAsia="pl-PL"/>
    </w:rPr>
  </w:style>
  <w:style w:type="character" w:styleId="Hipercze">
    <w:name w:val="Hyperlink"/>
    <w:rsid w:val="003F2250"/>
    <w:rPr>
      <w:color w:val="0000FF"/>
      <w:u w:val="single"/>
    </w:rPr>
  </w:style>
  <w:style w:type="paragraph" w:customStyle="1" w:styleId="Default">
    <w:name w:val="Default"/>
    <w:rsid w:val="0099712E"/>
    <w:pPr>
      <w:autoSpaceDE w:val="0"/>
      <w:autoSpaceDN w:val="0"/>
      <w:adjustRightInd w:val="0"/>
      <w:spacing w:after="0" w:line="240" w:lineRule="auto"/>
    </w:pPr>
    <w:rPr>
      <w:rFonts w:ascii="Arial Nova" w:hAnsi="Arial Nova" w:cs="Arial Nova"/>
      <w:color w:val="000000"/>
      <w:sz w:val="24"/>
      <w:szCs w:val="24"/>
    </w:rPr>
  </w:style>
  <w:style w:type="paragraph" w:styleId="Tekstprzypisukocowego">
    <w:name w:val="endnote text"/>
    <w:basedOn w:val="Normalny"/>
    <w:link w:val="TekstprzypisukocowegoZnak"/>
    <w:uiPriority w:val="99"/>
    <w:semiHidden/>
    <w:unhideWhenUsed/>
    <w:rsid w:val="009971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12E"/>
    <w:rPr>
      <w:sz w:val="20"/>
      <w:szCs w:val="20"/>
    </w:rPr>
  </w:style>
  <w:style w:type="character" w:styleId="Odwoanieprzypisukocowego">
    <w:name w:val="endnote reference"/>
    <w:basedOn w:val="Domylnaczcionkaakapitu"/>
    <w:uiPriority w:val="99"/>
    <w:semiHidden/>
    <w:unhideWhenUsed/>
    <w:rsid w:val="0099712E"/>
    <w:rPr>
      <w:vertAlign w:val="superscript"/>
    </w:rPr>
  </w:style>
  <w:style w:type="paragraph" w:styleId="Tematkomentarza">
    <w:name w:val="annotation subject"/>
    <w:basedOn w:val="Tekstkomentarza"/>
    <w:next w:val="Tekstkomentarza"/>
    <w:link w:val="TematkomentarzaZnak"/>
    <w:uiPriority w:val="99"/>
    <w:semiHidden/>
    <w:unhideWhenUsed/>
    <w:rsid w:val="00075D9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5D9B"/>
    <w:rPr>
      <w:rFonts w:ascii="Verdana" w:eastAsia="Times New Roman" w:hAnsi="Verdana" w:cs="Times New Roman"/>
      <w:b/>
      <w:bCs/>
      <w:sz w:val="20"/>
      <w:szCs w:val="20"/>
      <w:lang w:eastAsia="pl-PL"/>
    </w:rPr>
  </w:style>
  <w:style w:type="paragraph" w:styleId="Poprawka">
    <w:name w:val="Revision"/>
    <w:hidden/>
    <w:uiPriority w:val="99"/>
    <w:semiHidden/>
    <w:rsid w:val="009C2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3374">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i@opi.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ks@opi.org.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8432</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Grzegorz Wierzbicki</cp:lastModifiedBy>
  <cp:revision>2</cp:revision>
  <cp:lastPrinted>2020-04-10T12:11:00Z</cp:lastPrinted>
  <dcterms:created xsi:type="dcterms:W3CDTF">2020-04-27T10:09:00Z</dcterms:created>
  <dcterms:modified xsi:type="dcterms:W3CDTF">2020-04-27T10:09:00Z</dcterms:modified>
</cp:coreProperties>
</file>