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D3BE" w14:textId="77777777" w:rsidR="00A64902" w:rsidRPr="00247D14" w:rsidRDefault="00A64902" w:rsidP="00A64902">
      <w:pPr>
        <w:spacing w:line="276" w:lineRule="auto"/>
        <w:jc w:val="center"/>
        <w:rPr>
          <w:rFonts w:asciiTheme="majorHAnsi" w:eastAsia="CPFPPF+Georgia-Bold" w:hAnsiTheme="majorHAnsi" w:cstheme="majorHAnsi"/>
          <w:b/>
          <w:bCs/>
          <w:u w:val="single"/>
        </w:rPr>
      </w:pPr>
      <w:r w:rsidRPr="00247D14">
        <w:rPr>
          <w:rFonts w:asciiTheme="majorHAnsi" w:eastAsia="CPFPPF+Georgia-Bold" w:hAnsiTheme="majorHAnsi" w:cstheme="majorHAnsi"/>
          <w:b/>
          <w:bCs/>
          <w:u w:val="single"/>
        </w:rPr>
        <w:t>Opis Przedmiotu Zamówienia</w:t>
      </w:r>
    </w:p>
    <w:p w14:paraId="76261EA6" w14:textId="77777777" w:rsidR="00A64902" w:rsidRPr="00C54485" w:rsidRDefault="00A64902" w:rsidP="00A64902">
      <w:pPr>
        <w:spacing w:line="276" w:lineRule="auto"/>
        <w:jc w:val="both"/>
        <w:rPr>
          <w:rFonts w:asciiTheme="majorHAnsi" w:eastAsia="CPFPPF+Georgia-Bold" w:hAnsiTheme="majorHAnsi" w:cstheme="majorHAnsi"/>
          <w:b/>
          <w:bCs/>
          <w:sz w:val="20"/>
          <w:szCs w:val="20"/>
          <w:u w:val="single"/>
        </w:rPr>
      </w:pPr>
    </w:p>
    <w:p w14:paraId="31317012" w14:textId="77777777" w:rsidR="00247D14" w:rsidRDefault="00247D14" w:rsidP="00247D14">
      <w:pPr>
        <w:spacing w:line="276" w:lineRule="auto"/>
        <w:rPr>
          <w:rFonts w:asciiTheme="majorHAnsi" w:hAnsiTheme="majorHAnsi" w:cstheme="majorHAnsi"/>
        </w:rPr>
      </w:pPr>
      <w:r w:rsidRPr="00D130A5">
        <w:rPr>
          <w:rFonts w:asciiTheme="majorHAnsi" w:hAnsiTheme="majorHAnsi" w:cstheme="majorHAnsi"/>
        </w:rPr>
        <w:t xml:space="preserve">Według oznaczenia Wspólnego Słownika Zamówień (CPV): </w:t>
      </w:r>
    </w:p>
    <w:p w14:paraId="6113BC86" w14:textId="77777777" w:rsidR="00A64902" w:rsidRPr="00247D14" w:rsidRDefault="00A64902" w:rsidP="00A64902">
      <w:p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64200000-8 – Usługi telekomunikacyjne</w:t>
      </w:r>
    </w:p>
    <w:p w14:paraId="4D344C20" w14:textId="77777777" w:rsidR="00A64902" w:rsidRPr="00247D14" w:rsidRDefault="00A64902" w:rsidP="00A64902">
      <w:p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72400000-4 – Usługi internetowe</w:t>
      </w:r>
    </w:p>
    <w:p w14:paraId="6A595398" w14:textId="77777777" w:rsidR="00A64902" w:rsidRPr="00247D14" w:rsidRDefault="00A64902" w:rsidP="00A64902">
      <w:p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72318000-7 – Usługi </w:t>
      </w:r>
      <w:proofErr w:type="spellStart"/>
      <w:r w:rsidRPr="00247D14">
        <w:rPr>
          <w:rFonts w:asciiTheme="majorHAnsi" w:hAnsiTheme="majorHAnsi" w:cstheme="majorHAnsi"/>
        </w:rPr>
        <w:t>przesyłu</w:t>
      </w:r>
      <w:proofErr w:type="spellEnd"/>
      <w:r w:rsidRPr="00247D14">
        <w:rPr>
          <w:rFonts w:asciiTheme="majorHAnsi" w:hAnsiTheme="majorHAnsi" w:cstheme="majorHAnsi"/>
        </w:rPr>
        <w:t xml:space="preserve"> danych</w:t>
      </w:r>
    </w:p>
    <w:p w14:paraId="7FE8E49A" w14:textId="77777777" w:rsidR="00A64902" w:rsidRPr="00247D14" w:rsidRDefault="00A64902" w:rsidP="00A6490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496E7DA" w14:textId="77777777" w:rsidR="00A64902" w:rsidRPr="00247D14" w:rsidRDefault="00A64902" w:rsidP="00A64902">
      <w:pPr>
        <w:spacing w:line="276" w:lineRule="auto"/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4C494C11" w14:textId="24EB8793" w:rsidR="00A64902" w:rsidRDefault="00A64902" w:rsidP="00A6490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247D14">
        <w:rPr>
          <w:rFonts w:asciiTheme="majorHAnsi" w:hAnsiTheme="majorHAnsi" w:cstheme="majorHAnsi"/>
          <w:b/>
        </w:rPr>
        <w:t>Przedmiotem zamówienia jest:</w:t>
      </w:r>
    </w:p>
    <w:p w14:paraId="7ABCE366" w14:textId="77777777" w:rsidR="00F453C9" w:rsidRPr="00F453C9" w:rsidRDefault="00F453C9" w:rsidP="00A64902">
      <w:pPr>
        <w:spacing w:line="276" w:lineRule="auto"/>
        <w:jc w:val="both"/>
        <w:rPr>
          <w:rFonts w:asciiTheme="majorHAnsi" w:hAnsiTheme="majorHAnsi" w:cstheme="majorHAnsi"/>
          <w:b/>
          <w:sz w:val="8"/>
          <w:szCs w:val="8"/>
        </w:rPr>
      </w:pPr>
    </w:p>
    <w:p w14:paraId="32F81905" w14:textId="6CAB5E62" w:rsidR="00A64902" w:rsidRPr="00247D14" w:rsidRDefault="00A64902" w:rsidP="00A64902">
      <w:pPr>
        <w:pStyle w:val="Akapitzlist"/>
        <w:widowControl w:val="0"/>
        <w:numPr>
          <w:ilvl w:val="0"/>
          <w:numId w:val="17"/>
        </w:numPr>
        <w:spacing w:after="160" w:line="276" w:lineRule="auto"/>
        <w:ind w:left="284" w:hanging="284"/>
        <w:jc w:val="both"/>
        <w:rPr>
          <w:rFonts w:asciiTheme="majorHAnsi" w:hAnsiTheme="majorHAnsi" w:cstheme="majorHAnsi"/>
          <w:b/>
          <w:color w:val="000000"/>
          <w:spacing w:val="-5"/>
        </w:rPr>
      </w:pPr>
      <w:r w:rsidRPr="00247D14">
        <w:rPr>
          <w:rFonts w:asciiTheme="majorHAnsi" w:hAnsiTheme="majorHAnsi" w:cstheme="majorHAnsi"/>
          <w:b/>
        </w:rPr>
        <w:t xml:space="preserve">Zapewnienie szerokopasmowego dostępu do Internetu dla budynków biurowych zlokalizowanych przy al. Niepodległości 188b i 186 w Warszawie (00-608) </w:t>
      </w:r>
      <w:r w:rsidR="00AE35B1" w:rsidRPr="00247D14">
        <w:rPr>
          <w:rFonts w:asciiTheme="majorHAnsi" w:eastAsia="Calibri" w:hAnsiTheme="majorHAnsi" w:cstheme="majorHAnsi"/>
          <w:b/>
        </w:rPr>
        <w:t xml:space="preserve">oraz dla sprzętu Zamawiającego </w:t>
      </w:r>
      <w:r w:rsidR="00247D14">
        <w:rPr>
          <w:rFonts w:asciiTheme="majorHAnsi" w:eastAsia="Calibri" w:hAnsiTheme="majorHAnsi" w:cstheme="majorHAnsi"/>
          <w:b/>
        </w:rPr>
        <w:br/>
      </w:r>
      <w:r w:rsidR="00AE35B1" w:rsidRPr="00247D14">
        <w:rPr>
          <w:rFonts w:asciiTheme="majorHAnsi" w:eastAsia="Calibri" w:hAnsiTheme="majorHAnsi" w:cstheme="majorHAnsi"/>
          <w:b/>
        </w:rPr>
        <w:t>w lokalizacji przy ul. 11 Listopada 23a w Warszawie</w:t>
      </w:r>
      <w:r w:rsidR="00247D14">
        <w:rPr>
          <w:rFonts w:asciiTheme="majorHAnsi" w:eastAsia="Calibri" w:hAnsiTheme="majorHAnsi" w:cstheme="majorHAnsi"/>
          <w:b/>
        </w:rPr>
        <w:t>,</w:t>
      </w:r>
      <w:r w:rsidR="00AE35B1" w:rsidRPr="00247D14">
        <w:rPr>
          <w:rFonts w:asciiTheme="majorHAnsi" w:hAnsiTheme="majorHAnsi" w:cstheme="majorHAnsi"/>
          <w:b/>
        </w:rPr>
        <w:t xml:space="preserve"> </w:t>
      </w:r>
      <w:r w:rsidRPr="00247D14">
        <w:rPr>
          <w:rFonts w:asciiTheme="majorHAnsi" w:hAnsiTheme="majorHAnsi" w:cstheme="majorHAnsi"/>
          <w:b/>
        </w:rPr>
        <w:t>zgodnie z poniższymi wymaganiami:</w:t>
      </w:r>
    </w:p>
    <w:p w14:paraId="72E49D6B" w14:textId="77777777" w:rsidR="00A64902" w:rsidRPr="00247D14" w:rsidRDefault="00A64902" w:rsidP="00A64902">
      <w:pPr>
        <w:pStyle w:val="Akapitzlist"/>
        <w:widowControl w:val="0"/>
        <w:spacing w:line="276" w:lineRule="auto"/>
        <w:ind w:left="360"/>
        <w:jc w:val="both"/>
        <w:rPr>
          <w:rFonts w:asciiTheme="majorHAnsi" w:hAnsiTheme="majorHAnsi" w:cstheme="majorHAnsi"/>
          <w:b/>
          <w:bCs/>
          <w:color w:val="000000"/>
          <w:spacing w:val="-5"/>
        </w:rPr>
      </w:pPr>
    </w:p>
    <w:p w14:paraId="47781273" w14:textId="77777777" w:rsidR="00A64902" w:rsidRPr="00247D14" w:rsidRDefault="00A64902" w:rsidP="00A64902">
      <w:pPr>
        <w:pStyle w:val="Akapitzlist"/>
        <w:numPr>
          <w:ilvl w:val="0"/>
          <w:numId w:val="11"/>
        </w:numPr>
        <w:spacing w:after="200" w:line="276" w:lineRule="auto"/>
        <w:contextualSpacing w:val="0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b/>
          <w:bCs/>
          <w:color w:val="000000"/>
          <w:spacing w:val="-5"/>
        </w:rPr>
        <w:t>Wymagania techniczne usługi</w:t>
      </w:r>
    </w:p>
    <w:p w14:paraId="646893ED" w14:textId="77777777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 xml:space="preserve">Łącze musi zapewniać przepustowość efektywną min. </w:t>
      </w:r>
      <w:r w:rsidRPr="00247D14">
        <w:rPr>
          <w:rFonts w:asciiTheme="majorHAnsi" w:hAnsiTheme="majorHAnsi" w:cstheme="majorHAnsi"/>
          <w:sz w:val="24"/>
          <w:szCs w:val="24"/>
          <w:lang w:val="pl-PL"/>
        </w:rPr>
        <w:t>2 G</w:t>
      </w:r>
      <w:proofErr w:type="spellStart"/>
      <w:r w:rsidRPr="00247D14">
        <w:rPr>
          <w:rFonts w:asciiTheme="majorHAnsi" w:hAnsiTheme="majorHAnsi" w:cstheme="majorHAnsi"/>
          <w:sz w:val="24"/>
          <w:szCs w:val="24"/>
        </w:rPr>
        <w:t>bps</w:t>
      </w:r>
      <w:proofErr w:type="spellEnd"/>
      <w:r w:rsidRPr="00247D14">
        <w:rPr>
          <w:rFonts w:asciiTheme="majorHAnsi" w:hAnsiTheme="majorHAnsi" w:cstheme="majorHAnsi"/>
          <w:sz w:val="24"/>
          <w:szCs w:val="24"/>
        </w:rPr>
        <w:t xml:space="preserve"> w warstwie Ethernet w obu kierunkach równocześnie (symetrycznie, </w:t>
      </w:r>
      <w:proofErr w:type="spellStart"/>
      <w:r w:rsidRPr="00247D14">
        <w:rPr>
          <w:rFonts w:asciiTheme="majorHAnsi" w:hAnsiTheme="majorHAnsi" w:cstheme="majorHAnsi"/>
          <w:sz w:val="24"/>
          <w:szCs w:val="24"/>
        </w:rPr>
        <w:t>full</w:t>
      </w:r>
      <w:proofErr w:type="spellEnd"/>
      <w:r w:rsidRPr="00247D14">
        <w:rPr>
          <w:rFonts w:asciiTheme="majorHAnsi" w:hAnsiTheme="majorHAnsi" w:cstheme="majorHAnsi"/>
          <w:sz w:val="24"/>
          <w:szCs w:val="24"/>
        </w:rPr>
        <w:t>-duplex).</w:t>
      </w:r>
    </w:p>
    <w:p w14:paraId="1AFFD63F" w14:textId="77777777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Łącze musi być realizowane w technologii światłowodowej.</w:t>
      </w:r>
    </w:p>
    <w:p w14:paraId="63CAFEFC" w14:textId="432E77C4" w:rsidR="00A64902" w:rsidRPr="00247D14" w:rsidRDefault="00A64902" w:rsidP="00194F50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W ramach łącza Wykonawca zapewni przydział co najmniej 254 publicznych adresów IP</w:t>
      </w:r>
      <w:r w:rsidR="00200A63" w:rsidRPr="00247D14">
        <w:rPr>
          <w:rFonts w:asciiTheme="majorHAnsi" w:hAnsiTheme="majorHAnsi" w:cstheme="majorHAnsi"/>
          <w:sz w:val="24"/>
          <w:szCs w:val="24"/>
          <w:lang w:val="pl-PL"/>
        </w:rPr>
        <w:t xml:space="preserve"> rozpropagowan</w:t>
      </w:r>
      <w:r w:rsidR="00322F15" w:rsidRPr="00247D14">
        <w:rPr>
          <w:rFonts w:asciiTheme="majorHAnsi" w:hAnsiTheme="majorHAnsi" w:cstheme="majorHAnsi"/>
          <w:sz w:val="24"/>
          <w:szCs w:val="24"/>
          <w:lang w:val="pl-PL"/>
        </w:rPr>
        <w:t>ych</w:t>
      </w:r>
      <w:r w:rsidR="00200A63" w:rsidRPr="00247D1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="00200A63" w:rsidRPr="00247D14">
        <w:rPr>
          <w:rFonts w:asciiTheme="majorHAnsi" w:hAnsiTheme="majorHAnsi" w:cstheme="majorHAnsi"/>
          <w:sz w:val="24"/>
          <w:szCs w:val="24"/>
          <w:lang w:val="pl-PL"/>
        </w:rPr>
        <w:t>geolokacy</w:t>
      </w:r>
      <w:r w:rsidR="00322F15" w:rsidRPr="00247D14">
        <w:rPr>
          <w:rFonts w:asciiTheme="majorHAnsi" w:hAnsiTheme="majorHAnsi" w:cstheme="majorHAnsi"/>
          <w:sz w:val="24"/>
          <w:szCs w:val="24"/>
          <w:lang w:val="pl-PL"/>
        </w:rPr>
        <w:t>j</w:t>
      </w:r>
      <w:r w:rsidR="00200A63" w:rsidRPr="00247D14">
        <w:rPr>
          <w:rFonts w:asciiTheme="majorHAnsi" w:hAnsiTheme="majorHAnsi" w:cstheme="majorHAnsi"/>
          <w:sz w:val="24"/>
          <w:szCs w:val="24"/>
          <w:lang w:val="pl-PL"/>
        </w:rPr>
        <w:t>nie</w:t>
      </w:r>
      <w:proofErr w:type="spellEnd"/>
      <w:r w:rsidR="00200A63" w:rsidRPr="00247D14">
        <w:rPr>
          <w:rFonts w:asciiTheme="majorHAnsi" w:hAnsiTheme="majorHAnsi" w:cstheme="majorHAnsi"/>
          <w:sz w:val="24"/>
          <w:szCs w:val="24"/>
          <w:lang w:val="pl-PL"/>
        </w:rPr>
        <w:t xml:space="preserve"> w dwóch </w:t>
      </w:r>
      <w:r w:rsidR="00302685" w:rsidRPr="00247D14">
        <w:rPr>
          <w:rFonts w:asciiTheme="majorHAnsi" w:hAnsiTheme="majorHAnsi" w:cstheme="majorHAnsi"/>
          <w:sz w:val="24"/>
          <w:szCs w:val="24"/>
          <w:lang w:val="pl-PL"/>
        </w:rPr>
        <w:t xml:space="preserve">poniższych </w:t>
      </w:r>
      <w:r w:rsidR="00200A63" w:rsidRPr="00247D14">
        <w:rPr>
          <w:rFonts w:asciiTheme="majorHAnsi" w:hAnsiTheme="majorHAnsi" w:cstheme="majorHAnsi"/>
          <w:sz w:val="24"/>
          <w:szCs w:val="24"/>
          <w:lang w:val="pl-PL"/>
        </w:rPr>
        <w:t xml:space="preserve">lokalizacjach </w:t>
      </w:r>
      <w:r w:rsidR="00194F50" w:rsidRPr="00247D14">
        <w:rPr>
          <w:rFonts w:asciiTheme="majorHAnsi" w:hAnsiTheme="majorHAnsi" w:cstheme="majorHAnsi"/>
          <w:sz w:val="24"/>
          <w:szCs w:val="24"/>
          <w:lang w:val="pl-PL"/>
        </w:rPr>
        <w:t>na terenie Warszawy</w:t>
      </w:r>
      <w:r w:rsidR="00247D14">
        <w:rPr>
          <w:rFonts w:asciiTheme="majorHAnsi" w:hAnsiTheme="majorHAnsi" w:cstheme="majorHAnsi"/>
          <w:sz w:val="24"/>
          <w:szCs w:val="24"/>
          <w:lang w:val="pl-PL"/>
        </w:rPr>
        <w:t>:</w:t>
      </w:r>
    </w:p>
    <w:p w14:paraId="43D232E2" w14:textId="65190576" w:rsidR="00302685" w:rsidRPr="00247D14" w:rsidRDefault="00302685" w:rsidP="00302685">
      <w:pPr>
        <w:pStyle w:val="lista"/>
        <w:numPr>
          <w:ilvl w:val="2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  <w:lang w:val="pl-PL"/>
        </w:rPr>
        <w:t>al. Niepodległości 188b i 186</w:t>
      </w:r>
    </w:p>
    <w:p w14:paraId="71F6D068" w14:textId="039BF0A3" w:rsidR="00302685" w:rsidRPr="00247D14" w:rsidRDefault="00302685" w:rsidP="00302685">
      <w:pPr>
        <w:pStyle w:val="lista"/>
        <w:numPr>
          <w:ilvl w:val="2"/>
          <w:numId w:val="1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  <w:lang w:val="pl-PL"/>
        </w:rPr>
        <w:t>ul. 11 listopada 2</w:t>
      </w:r>
      <w:r w:rsidR="0098343E" w:rsidRPr="00247D14">
        <w:rPr>
          <w:rFonts w:asciiTheme="majorHAnsi" w:hAnsiTheme="majorHAnsi" w:cstheme="majorHAnsi"/>
          <w:sz w:val="24"/>
          <w:szCs w:val="24"/>
          <w:lang w:val="pl-PL"/>
        </w:rPr>
        <w:t>3</w:t>
      </w:r>
      <w:r w:rsidRPr="00247D14">
        <w:rPr>
          <w:rFonts w:asciiTheme="majorHAnsi" w:hAnsiTheme="majorHAnsi" w:cstheme="majorHAnsi"/>
          <w:sz w:val="24"/>
          <w:szCs w:val="24"/>
          <w:lang w:val="pl-PL"/>
        </w:rPr>
        <w:t>a</w:t>
      </w:r>
    </w:p>
    <w:p w14:paraId="4DBE7A89" w14:textId="77777777" w:rsidR="00302685" w:rsidRPr="00247D14" w:rsidRDefault="00302685" w:rsidP="00B27DAE">
      <w:pPr>
        <w:pStyle w:val="lista"/>
        <w:spacing w:line="276" w:lineRule="auto"/>
        <w:ind w:left="426"/>
        <w:jc w:val="both"/>
        <w:rPr>
          <w:rFonts w:asciiTheme="majorHAnsi" w:hAnsiTheme="majorHAnsi" w:cstheme="majorHAnsi"/>
          <w:sz w:val="2"/>
          <w:szCs w:val="2"/>
        </w:rPr>
      </w:pPr>
    </w:p>
    <w:p w14:paraId="7DA4EA0D" w14:textId="728338D2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Łącze zapewniające bezpośredni dostęp do kompleksowych usług Ogólnopolskiej Sieci Optycznej PIONIER oraz dostępu do paneuropejskiej sieci GEANT2.</w:t>
      </w:r>
    </w:p>
    <w:p w14:paraId="3AB3F321" w14:textId="77777777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Statystyki wykorzystania łącza dostępne on-line dla Zamawiającego.</w:t>
      </w:r>
    </w:p>
    <w:p w14:paraId="2482FCF3" w14:textId="77777777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 xml:space="preserve">Możliwość podłączenia wewnętrznej sieci bezprzewodowej jednostki do hierarchicznego systemu autoryzacji umożliwiającego </w:t>
      </w:r>
      <w:proofErr w:type="spellStart"/>
      <w:r w:rsidRPr="00247D14">
        <w:rPr>
          <w:rFonts w:asciiTheme="majorHAnsi" w:hAnsiTheme="majorHAnsi" w:cstheme="majorHAnsi"/>
          <w:sz w:val="24"/>
          <w:szCs w:val="24"/>
        </w:rPr>
        <w:t>roaming</w:t>
      </w:r>
      <w:proofErr w:type="spellEnd"/>
      <w:r w:rsidRPr="00247D14">
        <w:rPr>
          <w:rFonts w:asciiTheme="majorHAnsi" w:hAnsiTheme="majorHAnsi" w:cstheme="majorHAnsi"/>
          <w:sz w:val="24"/>
          <w:szCs w:val="24"/>
        </w:rPr>
        <w:t xml:space="preserve"> pomiędzy bezprzewodowymi sieciami naukowymi na świecie – usługa EDUROAM.</w:t>
      </w:r>
    </w:p>
    <w:p w14:paraId="502EC673" w14:textId="77777777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Brak współdzielenia pasma dostępowego z innymi użytkownikami.</w:t>
      </w:r>
    </w:p>
    <w:p w14:paraId="2D801141" w14:textId="77777777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Brak limitów ruchu - brak ograniczeń wolumenu transferu.</w:t>
      </w:r>
    </w:p>
    <w:p w14:paraId="2522BE89" w14:textId="77777777" w:rsidR="00A64902" w:rsidRPr="00247D14" w:rsidRDefault="00A64902" w:rsidP="00A64902">
      <w:pPr>
        <w:pStyle w:val="lista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Konfiguracje routera brzegowego będącego własnością Zamawiającego.</w:t>
      </w:r>
    </w:p>
    <w:p w14:paraId="40F45208" w14:textId="27BE2F0E" w:rsidR="00A64902" w:rsidRPr="00247D14" w:rsidRDefault="00A64902" w:rsidP="00A64902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spacing w:val="-3"/>
        </w:rPr>
        <w:t xml:space="preserve">W przypadku zamiany obecnie używanej klasy IP (195.187.108.0/26), wszystkie przedsięwzięcia </w:t>
      </w:r>
      <w:r w:rsidR="005B0D6D">
        <w:rPr>
          <w:rFonts w:asciiTheme="majorHAnsi" w:hAnsiTheme="majorHAnsi" w:cstheme="majorHAnsi"/>
          <w:spacing w:val="-3"/>
        </w:rPr>
        <w:br/>
      </w:r>
      <w:r w:rsidRPr="00247D14">
        <w:rPr>
          <w:rFonts w:asciiTheme="majorHAnsi" w:hAnsiTheme="majorHAnsi" w:cstheme="majorHAnsi"/>
          <w:spacing w:val="-3"/>
        </w:rPr>
        <w:t xml:space="preserve">i koszty związane ze zmianą adresacji (rekonfiguracja </w:t>
      </w:r>
      <w:r w:rsidR="00302685" w:rsidRPr="00247D14">
        <w:rPr>
          <w:rFonts w:asciiTheme="majorHAnsi" w:hAnsiTheme="majorHAnsi" w:cstheme="majorHAnsi"/>
          <w:spacing w:val="-3"/>
        </w:rPr>
        <w:t xml:space="preserve">systemów, </w:t>
      </w:r>
      <w:r w:rsidRPr="00247D14">
        <w:rPr>
          <w:rFonts w:asciiTheme="majorHAnsi" w:hAnsiTheme="majorHAnsi" w:cstheme="majorHAnsi"/>
          <w:spacing w:val="-3"/>
        </w:rPr>
        <w:t>serwerów ruterów i sprzętu sieciowego, zamiany polityki bezpieczeństwa) pozostają po stronie Wykonawcy.</w:t>
      </w:r>
    </w:p>
    <w:p w14:paraId="1064F1DA" w14:textId="77777777" w:rsidR="00A64902" w:rsidRPr="00247D14" w:rsidRDefault="00A64902" w:rsidP="00A64902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ajorHAnsi" w:hAnsiTheme="majorHAnsi" w:cstheme="majorHAnsi"/>
          <w:b/>
        </w:rPr>
      </w:pPr>
      <w:r w:rsidRPr="00247D14">
        <w:rPr>
          <w:rFonts w:asciiTheme="majorHAnsi" w:hAnsiTheme="majorHAnsi" w:cstheme="majorHAnsi"/>
          <w:b/>
        </w:rPr>
        <w:lastRenderedPageBreak/>
        <w:t>Wymagania jakościowe usługi</w:t>
      </w:r>
    </w:p>
    <w:p w14:paraId="0B9EE754" w14:textId="1962BFF5" w:rsidR="00A64902" w:rsidRPr="00247D14" w:rsidRDefault="00A64902" w:rsidP="00A64902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Zgłoszenia awarii będą przyjmowane przez Wykonawcę przez wszystkie dni w roku, 24 godziny na dobę.</w:t>
      </w:r>
    </w:p>
    <w:p w14:paraId="6A1D3EA8" w14:textId="7C6AD9D7" w:rsidR="00A64902" w:rsidRPr="00247D14" w:rsidRDefault="00A64902" w:rsidP="00A64902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Awarie muszą być usuwane przez Wykonawcę w ciągu maksymalnie 8 godzin od momentu zgłoszenia.</w:t>
      </w:r>
    </w:p>
    <w:p w14:paraId="7EF99542" w14:textId="2A32B200" w:rsidR="00A64902" w:rsidRPr="00247D14" w:rsidRDefault="00A64902" w:rsidP="00A64902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Dostępność usługi w ciągu roku nie może być mniejsza niż 99,9% czasu świadczenia usługi </w:t>
      </w:r>
      <w:r w:rsidR="00F453C9">
        <w:rPr>
          <w:rFonts w:asciiTheme="majorHAnsi" w:hAnsiTheme="majorHAnsi" w:cstheme="majorHAnsi"/>
        </w:rPr>
        <w:br/>
      </w:r>
      <w:r w:rsidRPr="00247D14">
        <w:rPr>
          <w:rFonts w:asciiTheme="majorHAnsi" w:hAnsiTheme="majorHAnsi" w:cstheme="majorHAnsi"/>
        </w:rPr>
        <w:t>w</w:t>
      </w:r>
      <w:r w:rsidR="00F453C9">
        <w:rPr>
          <w:rFonts w:asciiTheme="majorHAnsi" w:hAnsiTheme="majorHAnsi" w:cstheme="majorHAnsi"/>
        </w:rPr>
        <w:t xml:space="preserve"> </w:t>
      </w:r>
      <w:r w:rsidRPr="00247D14">
        <w:rPr>
          <w:rFonts w:asciiTheme="majorHAnsi" w:hAnsiTheme="majorHAnsi" w:cstheme="majorHAnsi"/>
        </w:rPr>
        <w:t>danym roku.</w:t>
      </w:r>
    </w:p>
    <w:p w14:paraId="47E00A33" w14:textId="0CF1F3B8" w:rsidR="00A64902" w:rsidRPr="00247D14" w:rsidRDefault="00A64902" w:rsidP="00A64902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Wykonawca jest zobowiązany do powiadamiania Zamawiającego z siedmiodniowym wyprzedzeniem o konieczności dokonania niezbędnych prac konserwacyjnych powodujących przerwę w świadczeniu usługi. Prace powinny być prowadzone w zakresie godzin 22:00-4:00, </w:t>
      </w:r>
      <w:r w:rsidR="00F453C9">
        <w:rPr>
          <w:rFonts w:asciiTheme="majorHAnsi" w:hAnsiTheme="majorHAnsi" w:cstheme="majorHAnsi"/>
        </w:rPr>
        <w:br/>
      </w:r>
      <w:r w:rsidRPr="00247D14">
        <w:rPr>
          <w:rFonts w:asciiTheme="majorHAnsi" w:hAnsiTheme="majorHAnsi" w:cstheme="majorHAnsi"/>
        </w:rPr>
        <w:t>w sposób minimalizujący czas trwania przerw w działaniu sieci.</w:t>
      </w:r>
    </w:p>
    <w:p w14:paraId="78F41EDD" w14:textId="29F399C0" w:rsidR="00A64902" w:rsidRPr="00247D14" w:rsidRDefault="00F453C9" w:rsidP="00A64902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Wymagana jest k</w:t>
      </w:r>
      <w:r w:rsidR="00A64902" w:rsidRPr="00247D14">
        <w:rPr>
          <w:rFonts w:asciiTheme="majorHAnsi" w:hAnsiTheme="majorHAnsi" w:cstheme="majorHAnsi"/>
        </w:rPr>
        <w:t>onfiguracja przez Wykonawcę routera brzegowego będącego własnością Zamawiającego.</w:t>
      </w:r>
    </w:p>
    <w:p w14:paraId="48510A68" w14:textId="77777777" w:rsidR="00A64902" w:rsidRPr="00F453C9" w:rsidRDefault="00A64902" w:rsidP="00A64902">
      <w:pPr>
        <w:pStyle w:val="Akapitzlist"/>
        <w:widowControl w:val="0"/>
        <w:spacing w:line="276" w:lineRule="auto"/>
        <w:ind w:left="360"/>
        <w:jc w:val="both"/>
        <w:rPr>
          <w:rFonts w:asciiTheme="majorHAnsi" w:hAnsiTheme="majorHAnsi" w:cstheme="majorHAnsi"/>
          <w:sz w:val="16"/>
          <w:szCs w:val="16"/>
        </w:rPr>
      </w:pPr>
    </w:p>
    <w:p w14:paraId="68091703" w14:textId="77777777" w:rsidR="00A64902" w:rsidRPr="00247D14" w:rsidRDefault="00A64902" w:rsidP="00A64902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b/>
        </w:rPr>
        <w:t>Uruchomienie usługi</w:t>
      </w:r>
    </w:p>
    <w:p w14:paraId="3FC4C91F" w14:textId="08716810" w:rsidR="00A64902" w:rsidRPr="00247D14" w:rsidRDefault="35B383A5" w:rsidP="6293EB0D">
      <w:pPr>
        <w:pStyle w:val="Akapitzlist"/>
        <w:spacing w:line="276" w:lineRule="auto"/>
        <w:ind w:left="360" w:hanging="360"/>
        <w:jc w:val="both"/>
        <w:rPr>
          <w:rFonts w:asciiTheme="majorHAnsi" w:hAnsiTheme="majorHAnsi" w:cstheme="majorBidi"/>
        </w:rPr>
      </w:pPr>
      <w:r w:rsidRPr="6293EB0D">
        <w:rPr>
          <w:rFonts w:asciiTheme="majorHAnsi" w:hAnsiTheme="majorHAnsi" w:cstheme="majorBidi"/>
        </w:rPr>
        <w:t xml:space="preserve">3.1 Usługa musi zostać uruchomiona nie później niż do dnia </w:t>
      </w:r>
      <w:r w:rsidRPr="6293EB0D">
        <w:rPr>
          <w:rFonts w:asciiTheme="majorHAnsi" w:hAnsiTheme="majorHAnsi" w:cstheme="majorBidi"/>
          <w:b/>
          <w:bCs/>
        </w:rPr>
        <w:t>01.03.202</w:t>
      </w:r>
      <w:r w:rsidR="592327FD" w:rsidRPr="6293EB0D">
        <w:rPr>
          <w:rFonts w:asciiTheme="majorHAnsi" w:hAnsiTheme="majorHAnsi" w:cstheme="majorBidi"/>
          <w:b/>
          <w:bCs/>
        </w:rPr>
        <w:t>3</w:t>
      </w:r>
      <w:r w:rsidRPr="6293EB0D">
        <w:rPr>
          <w:rFonts w:asciiTheme="majorHAnsi" w:hAnsiTheme="majorHAnsi" w:cstheme="majorBidi"/>
          <w:b/>
          <w:bCs/>
        </w:rPr>
        <w:t xml:space="preserve"> r. do godziny 1:00</w:t>
      </w:r>
      <w:r w:rsidRPr="6293EB0D">
        <w:rPr>
          <w:rFonts w:asciiTheme="majorHAnsi" w:hAnsiTheme="majorHAnsi" w:cstheme="majorBidi"/>
        </w:rPr>
        <w:t>.</w:t>
      </w:r>
    </w:p>
    <w:p w14:paraId="5BA25A4E" w14:textId="633A785B" w:rsidR="00A64902" w:rsidRPr="00F453C9" w:rsidRDefault="35B383A5" w:rsidP="6293EB0D">
      <w:pPr>
        <w:pStyle w:val="Akapitzlist"/>
        <w:numPr>
          <w:ilvl w:val="1"/>
          <w:numId w:val="12"/>
        </w:numPr>
        <w:spacing w:after="200" w:line="276" w:lineRule="auto"/>
        <w:ind w:left="426" w:hanging="426"/>
        <w:jc w:val="both"/>
        <w:rPr>
          <w:rFonts w:asciiTheme="majorHAnsi" w:hAnsiTheme="majorHAnsi" w:cstheme="majorBidi"/>
        </w:rPr>
      </w:pPr>
      <w:r w:rsidRPr="6293EB0D">
        <w:rPr>
          <w:rFonts w:asciiTheme="majorHAnsi" w:hAnsiTheme="majorHAnsi" w:cstheme="majorBidi"/>
        </w:rPr>
        <w:t xml:space="preserve">Czas obowiązywania umowy </w:t>
      </w:r>
      <w:r w:rsidRPr="6293EB0D">
        <w:rPr>
          <w:rFonts w:asciiTheme="majorHAnsi" w:hAnsiTheme="majorHAnsi" w:cstheme="majorBidi"/>
          <w:b/>
          <w:bCs/>
        </w:rPr>
        <w:t>od 01.03.202</w:t>
      </w:r>
      <w:r w:rsidR="636E6352" w:rsidRPr="6293EB0D">
        <w:rPr>
          <w:rFonts w:asciiTheme="majorHAnsi" w:hAnsiTheme="majorHAnsi" w:cstheme="majorBidi"/>
          <w:b/>
          <w:bCs/>
        </w:rPr>
        <w:t>3</w:t>
      </w:r>
      <w:r w:rsidRPr="6293EB0D">
        <w:rPr>
          <w:rFonts w:asciiTheme="majorHAnsi" w:hAnsiTheme="majorHAnsi" w:cstheme="majorBidi"/>
          <w:b/>
          <w:bCs/>
        </w:rPr>
        <w:t xml:space="preserve"> r. do 2</w:t>
      </w:r>
      <w:r w:rsidR="592327FD" w:rsidRPr="6293EB0D">
        <w:rPr>
          <w:rFonts w:asciiTheme="majorHAnsi" w:hAnsiTheme="majorHAnsi" w:cstheme="majorBidi"/>
          <w:b/>
          <w:bCs/>
        </w:rPr>
        <w:t>9</w:t>
      </w:r>
      <w:r w:rsidRPr="6293EB0D">
        <w:rPr>
          <w:rFonts w:asciiTheme="majorHAnsi" w:hAnsiTheme="majorHAnsi" w:cstheme="majorBidi"/>
          <w:b/>
          <w:bCs/>
        </w:rPr>
        <w:t>.02.202</w:t>
      </w:r>
      <w:r w:rsidR="592327FD" w:rsidRPr="6293EB0D">
        <w:rPr>
          <w:rFonts w:asciiTheme="majorHAnsi" w:hAnsiTheme="majorHAnsi" w:cstheme="majorBidi"/>
          <w:b/>
          <w:bCs/>
        </w:rPr>
        <w:t>4</w:t>
      </w:r>
      <w:r w:rsidRPr="6293EB0D">
        <w:rPr>
          <w:rFonts w:asciiTheme="majorHAnsi" w:hAnsiTheme="majorHAnsi" w:cstheme="majorBidi"/>
          <w:b/>
          <w:bCs/>
        </w:rPr>
        <w:t xml:space="preserve"> r</w:t>
      </w:r>
      <w:r w:rsidRPr="6293EB0D">
        <w:rPr>
          <w:rFonts w:asciiTheme="majorHAnsi" w:hAnsiTheme="majorHAnsi" w:cstheme="majorBidi"/>
        </w:rPr>
        <w:t>.</w:t>
      </w:r>
    </w:p>
    <w:p w14:paraId="7E6F3D12" w14:textId="77777777" w:rsidR="00A64902" w:rsidRPr="00C54485" w:rsidRDefault="00A64902" w:rsidP="00A64902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pacing w:val="-3"/>
          <w:sz w:val="20"/>
          <w:szCs w:val="20"/>
        </w:rPr>
      </w:pPr>
    </w:p>
    <w:p w14:paraId="0C86DA79" w14:textId="4C8889CC" w:rsidR="00A64902" w:rsidRPr="00247D14" w:rsidRDefault="00A64902" w:rsidP="00F453C9">
      <w:pPr>
        <w:pStyle w:val="Akapitzlist"/>
        <w:widowControl w:val="0"/>
        <w:numPr>
          <w:ilvl w:val="0"/>
          <w:numId w:val="17"/>
        </w:numPr>
        <w:spacing w:after="160"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247D14">
        <w:rPr>
          <w:rFonts w:asciiTheme="majorHAnsi" w:hAnsiTheme="majorHAnsi" w:cstheme="majorHAnsi"/>
          <w:b/>
        </w:rPr>
        <w:t>Zapewnienie</w:t>
      </w:r>
      <w:r w:rsidRPr="00247D14">
        <w:rPr>
          <w:rFonts w:asciiTheme="majorHAnsi" w:hAnsiTheme="majorHAnsi" w:cstheme="majorHAnsi"/>
          <w:b/>
          <w:bCs/>
          <w:color w:val="000000"/>
        </w:rPr>
        <w:t xml:space="preserve"> łącza awaryjnego dla łącza podstawowego</w:t>
      </w:r>
      <w:r w:rsidR="00C54485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C54485" w:rsidRPr="00247D14">
        <w:rPr>
          <w:rFonts w:asciiTheme="majorHAnsi" w:hAnsiTheme="majorHAnsi" w:cstheme="majorHAnsi"/>
          <w:b/>
        </w:rPr>
        <w:t>dla budynków biurowych zlokalizowanych przy al. Niepodległości 188b i 186 w Warszawie (00-608)</w:t>
      </w:r>
      <w:r w:rsidRPr="00247D14">
        <w:rPr>
          <w:rFonts w:asciiTheme="majorHAnsi" w:hAnsiTheme="majorHAnsi" w:cstheme="majorHAnsi"/>
          <w:b/>
          <w:bCs/>
          <w:color w:val="000000"/>
        </w:rPr>
        <w:t>, realizowane inną drogą niż łącze podstawowe lub drog</w:t>
      </w:r>
      <w:r w:rsidR="00F453C9">
        <w:rPr>
          <w:rFonts w:asciiTheme="majorHAnsi" w:hAnsiTheme="majorHAnsi" w:cstheme="majorHAnsi"/>
          <w:b/>
          <w:bCs/>
          <w:color w:val="000000"/>
        </w:rPr>
        <w:t>ą</w:t>
      </w:r>
      <w:r w:rsidRPr="00247D14">
        <w:rPr>
          <w:rFonts w:asciiTheme="majorHAnsi" w:hAnsiTheme="majorHAnsi" w:cstheme="majorHAnsi"/>
          <w:b/>
          <w:bCs/>
          <w:color w:val="000000"/>
        </w:rPr>
        <w:t xml:space="preserve"> radiową</w:t>
      </w:r>
      <w:r w:rsidR="00F453C9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247D14">
        <w:rPr>
          <w:rFonts w:asciiTheme="majorHAnsi" w:hAnsiTheme="majorHAnsi" w:cstheme="majorHAnsi"/>
          <w:b/>
          <w:bCs/>
          <w:color w:val="000000"/>
        </w:rPr>
        <w:t>zgodnie z poniższymi wymaganiami:</w:t>
      </w:r>
    </w:p>
    <w:p w14:paraId="2C77FC0C" w14:textId="77777777" w:rsidR="00A64902" w:rsidRPr="00F453C9" w:rsidRDefault="00A64902" w:rsidP="00A64902">
      <w:pPr>
        <w:pStyle w:val="Akapitzlist"/>
        <w:widowControl w:val="0"/>
        <w:spacing w:line="276" w:lineRule="auto"/>
        <w:ind w:left="360"/>
        <w:jc w:val="both"/>
        <w:rPr>
          <w:rFonts w:asciiTheme="majorHAnsi" w:hAnsiTheme="majorHAnsi" w:cstheme="majorHAnsi"/>
          <w:b/>
          <w:sz w:val="14"/>
          <w:szCs w:val="14"/>
        </w:rPr>
      </w:pPr>
    </w:p>
    <w:p w14:paraId="120D12A8" w14:textId="77777777" w:rsidR="00A64902" w:rsidRPr="00247D14" w:rsidRDefault="00A64902" w:rsidP="00A64902">
      <w:pPr>
        <w:pStyle w:val="Akapitzlist"/>
        <w:numPr>
          <w:ilvl w:val="0"/>
          <w:numId w:val="13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b/>
          <w:bCs/>
          <w:color w:val="000000"/>
          <w:spacing w:val="-5"/>
        </w:rPr>
        <w:t>Wymagania techniczne usługi</w:t>
      </w:r>
    </w:p>
    <w:p w14:paraId="1A9176A6" w14:textId="77777777" w:rsidR="00A64902" w:rsidRPr="00247D14" w:rsidRDefault="00A64902" w:rsidP="00A64902">
      <w:pPr>
        <w:pStyle w:val="Akapitzlist"/>
        <w:widowControl w:val="0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Łącze musi zapewniać przepustowość efektywną 500 </w:t>
      </w:r>
      <w:proofErr w:type="spellStart"/>
      <w:r w:rsidRPr="00247D14">
        <w:rPr>
          <w:rFonts w:asciiTheme="majorHAnsi" w:hAnsiTheme="majorHAnsi" w:cstheme="majorHAnsi"/>
        </w:rPr>
        <w:t>Mbps</w:t>
      </w:r>
      <w:proofErr w:type="spellEnd"/>
      <w:r w:rsidRPr="00247D14">
        <w:rPr>
          <w:rFonts w:asciiTheme="majorHAnsi" w:hAnsiTheme="majorHAnsi" w:cstheme="majorHAnsi"/>
        </w:rPr>
        <w:t xml:space="preserve"> w warstwie Ethernet w obu kierunkach równocześnie (symetrycznie, </w:t>
      </w:r>
      <w:proofErr w:type="spellStart"/>
      <w:r w:rsidRPr="00247D14">
        <w:rPr>
          <w:rFonts w:asciiTheme="majorHAnsi" w:hAnsiTheme="majorHAnsi" w:cstheme="majorHAnsi"/>
        </w:rPr>
        <w:t>full</w:t>
      </w:r>
      <w:proofErr w:type="spellEnd"/>
      <w:r w:rsidRPr="00247D14">
        <w:rPr>
          <w:rFonts w:asciiTheme="majorHAnsi" w:hAnsiTheme="majorHAnsi" w:cstheme="majorHAnsi"/>
        </w:rPr>
        <w:t>-duplex).</w:t>
      </w:r>
    </w:p>
    <w:p w14:paraId="598179F2" w14:textId="77777777" w:rsidR="00A64902" w:rsidRPr="00247D14" w:rsidRDefault="00A64902" w:rsidP="00A64902">
      <w:pPr>
        <w:pStyle w:val="Akapitzlist"/>
        <w:widowControl w:val="0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Łącze realizowane w technologii radiowej w paśmie koncesjonowanym.</w:t>
      </w:r>
    </w:p>
    <w:p w14:paraId="5730293B" w14:textId="77777777" w:rsidR="00A64902" w:rsidRPr="00247D14" w:rsidRDefault="00A64902" w:rsidP="00A64902">
      <w:pPr>
        <w:pStyle w:val="Akapitzlist"/>
        <w:widowControl w:val="0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Przydział co najmniej czterech stałych, publicznych adresów IP.</w:t>
      </w:r>
    </w:p>
    <w:p w14:paraId="6DAAA0FC" w14:textId="77777777" w:rsidR="00A64902" w:rsidRPr="00247D14" w:rsidRDefault="00A64902" w:rsidP="00A64902">
      <w:pPr>
        <w:pStyle w:val="Akapitzlist"/>
        <w:widowControl w:val="0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Możliwość zapewnienia nieprzerwanej pracy dostępu do sieci Internet (poprzez automatyczne przełączenie) w przypadku awarii łącza podstawowego przy wykorzystaniu obecnej adresacji łącza podstawowego.</w:t>
      </w:r>
    </w:p>
    <w:p w14:paraId="45EEDA9C" w14:textId="0F660CFA" w:rsidR="00A64902" w:rsidRPr="00247D14" w:rsidRDefault="00F453C9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Umożliwienie Zamawiającemu </w:t>
      </w:r>
      <w:r w:rsidR="00A64902" w:rsidRPr="00247D14">
        <w:rPr>
          <w:rFonts w:asciiTheme="majorHAnsi" w:hAnsiTheme="majorHAnsi" w:cstheme="majorHAnsi"/>
          <w:sz w:val="24"/>
          <w:szCs w:val="24"/>
        </w:rPr>
        <w:t>dostępu do statystyk wykorzystania łącza.</w:t>
      </w:r>
    </w:p>
    <w:p w14:paraId="77455E45" w14:textId="77777777" w:rsidR="00A64902" w:rsidRPr="00247D14" w:rsidRDefault="00A64902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Brak współdzielenia pasma dostępowego z innymi użytkownikami.</w:t>
      </w:r>
    </w:p>
    <w:p w14:paraId="3B3E87D6" w14:textId="77777777" w:rsidR="00A64902" w:rsidRPr="00247D14" w:rsidRDefault="00A64902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Brak limitów ruchu - brak ograniczeń wolumenu transferu.</w:t>
      </w:r>
    </w:p>
    <w:p w14:paraId="68EDDF80" w14:textId="1171B87D" w:rsidR="00A64902" w:rsidRPr="00247D14" w:rsidRDefault="6E5844F8" w:rsidP="52EC1430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r w:rsidRPr="52EC1430">
        <w:rPr>
          <w:rFonts w:asciiTheme="majorHAnsi" w:hAnsiTheme="majorHAnsi" w:cstheme="majorBidi"/>
          <w:sz w:val="24"/>
          <w:szCs w:val="24"/>
          <w:lang w:val="pl-PL"/>
        </w:rPr>
        <w:t xml:space="preserve">Wymagana jest </w:t>
      </w:r>
      <w:r w:rsidRPr="52EC1430">
        <w:rPr>
          <w:rFonts w:asciiTheme="majorHAnsi" w:hAnsiTheme="majorHAnsi" w:cstheme="majorBidi"/>
          <w:sz w:val="24"/>
          <w:szCs w:val="24"/>
        </w:rPr>
        <w:t>konfiguracja</w:t>
      </w:r>
      <w:r w:rsidR="4F59E6A9" w:rsidRPr="52EC1430">
        <w:rPr>
          <w:rFonts w:asciiTheme="majorHAnsi" w:hAnsiTheme="majorHAnsi" w:cstheme="majorBidi"/>
          <w:sz w:val="24"/>
          <w:szCs w:val="24"/>
        </w:rPr>
        <w:t xml:space="preserve"> przez Wykonawcę routera brzegowego będącego własnością Zamawiającego</w:t>
      </w:r>
    </w:p>
    <w:p w14:paraId="1D2AC28A" w14:textId="77777777" w:rsidR="00A64902" w:rsidRPr="00247D14" w:rsidRDefault="00A64902" w:rsidP="00A64902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247D14">
        <w:rPr>
          <w:rFonts w:asciiTheme="majorHAnsi" w:hAnsiTheme="majorHAnsi" w:cstheme="majorHAnsi"/>
          <w:b/>
        </w:rPr>
        <w:lastRenderedPageBreak/>
        <w:t>Wymagania jakościowe usługi</w:t>
      </w:r>
    </w:p>
    <w:p w14:paraId="0C75F610" w14:textId="685C9995" w:rsidR="00A64902" w:rsidRPr="00247D14" w:rsidRDefault="00A64902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Zgłoszenia awarii będą przyjmowane przez Wykonawcę przez wszystkie dni w roku, 24 godziny na dobę.</w:t>
      </w:r>
    </w:p>
    <w:p w14:paraId="246D73B2" w14:textId="029DF040" w:rsidR="00A64902" w:rsidRPr="00247D14" w:rsidRDefault="35B383A5" w:rsidP="6293EB0D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r w:rsidRPr="6293EB0D">
        <w:rPr>
          <w:rFonts w:asciiTheme="majorHAnsi" w:hAnsiTheme="majorHAnsi" w:cstheme="majorBidi"/>
          <w:sz w:val="24"/>
          <w:szCs w:val="24"/>
        </w:rPr>
        <w:t>Nadzór i monitoring Działu Utrzymania Sieci Telekomunikacyjnej w systemie 7/24.</w:t>
      </w:r>
    </w:p>
    <w:p w14:paraId="15FC29C4" w14:textId="24EC7F78" w:rsidR="00A64902" w:rsidRPr="00247D14" w:rsidRDefault="00A64902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>Awarie muszą być usuwane przez Wykonawcę w ciągu maksymalnie 24 godzin od momentu zgłoszenia.</w:t>
      </w:r>
    </w:p>
    <w:p w14:paraId="05DAFD3A" w14:textId="75E3784C" w:rsidR="00A64902" w:rsidRPr="00247D14" w:rsidRDefault="00A64902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 xml:space="preserve">Dostępność usługi w ciągu roku nie może być mniejsza niż 98,0% czasu świadczenia usługi </w:t>
      </w:r>
      <w:r w:rsidR="00F453C9">
        <w:rPr>
          <w:rFonts w:asciiTheme="majorHAnsi" w:hAnsiTheme="majorHAnsi" w:cstheme="majorHAnsi"/>
          <w:sz w:val="24"/>
          <w:szCs w:val="24"/>
        </w:rPr>
        <w:br/>
      </w:r>
      <w:r w:rsidRPr="00247D14">
        <w:rPr>
          <w:rFonts w:asciiTheme="majorHAnsi" w:hAnsiTheme="majorHAnsi" w:cstheme="majorHAnsi"/>
          <w:sz w:val="24"/>
          <w:szCs w:val="24"/>
        </w:rPr>
        <w:t>w danym roku.</w:t>
      </w:r>
    </w:p>
    <w:p w14:paraId="3D315650" w14:textId="17DA1886" w:rsidR="00A64902" w:rsidRPr="00247D14" w:rsidRDefault="00A64902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 xml:space="preserve">Wykonawca jest zobowiązany do powiadamiania Zamawiającego z siedmiodniowym wyprzedzeniem o konieczności dokonania niezbędnych prac konserwacyjnych powodujących przerwę w świadczeniu usługi. Prace powinny być prowadzone w zakresie godzin 22:00-4:00, </w:t>
      </w:r>
      <w:r w:rsidR="00F453C9">
        <w:rPr>
          <w:rFonts w:asciiTheme="majorHAnsi" w:hAnsiTheme="majorHAnsi" w:cstheme="majorHAnsi"/>
          <w:sz w:val="24"/>
          <w:szCs w:val="24"/>
        </w:rPr>
        <w:br/>
      </w:r>
      <w:r w:rsidRPr="00247D14">
        <w:rPr>
          <w:rFonts w:asciiTheme="majorHAnsi" w:hAnsiTheme="majorHAnsi" w:cstheme="majorHAnsi"/>
          <w:sz w:val="24"/>
          <w:szCs w:val="24"/>
        </w:rPr>
        <w:t>w sposób minimalizujący czas trwania przerw w działaniu sieci.</w:t>
      </w:r>
    </w:p>
    <w:p w14:paraId="28C91667" w14:textId="77777777" w:rsidR="00A64902" w:rsidRPr="00247D14" w:rsidRDefault="00A64902" w:rsidP="00A64902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456D3101" w14:textId="77777777" w:rsidR="00A64902" w:rsidRPr="00247D14" w:rsidRDefault="00A64902" w:rsidP="00A64902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247D14">
        <w:rPr>
          <w:rFonts w:asciiTheme="majorHAnsi" w:hAnsiTheme="majorHAnsi" w:cstheme="majorHAnsi"/>
          <w:b/>
        </w:rPr>
        <w:t>Uruchomienie usługi</w:t>
      </w:r>
    </w:p>
    <w:p w14:paraId="08FDC710" w14:textId="77777777" w:rsidR="00A64902" w:rsidRPr="00247D14" w:rsidRDefault="00A64902" w:rsidP="00A64902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47D14">
        <w:rPr>
          <w:rFonts w:asciiTheme="majorHAnsi" w:hAnsiTheme="majorHAnsi" w:cstheme="majorHAnsi"/>
          <w:sz w:val="24"/>
          <w:szCs w:val="24"/>
        </w:rPr>
        <w:t xml:space="preserve">Usługa musi zostać uruchomiona nie później niż do dnia </w:t>
      </w:r>
      <w:r w:rsidRPr="00247D14">
        <w:rPr>
          <w:rFonts w:asciiTheme="majorHAnsi" w:hAnsiTheme="majorHAnsi" w:cstheme="majorHAnsi"/>
          <w:b/>
          <w:sz w:val="24"/>
          <w:szCs w:val="24"/>
        </w:rPr>
        <w:t>01.03.202</w:t>
      </w:r>
      <w:r w:rsidRPr="00247D14">
        <w:rPr>
          <w:rFonts w:asciiTheme="majorHAnsi" w:hAnsiTheme="majorHAnsi" w:cstheme="majorHAnsi"/>
          <w:b/>
          <w:sz w:val="24"/>
          <w:szCs w:val="24"/>
          <w:lang w:val="pl-PL"/>
        </w:rPr>
        <w:t>3</w:t>
      </w:r>
      <w:r w:rsidRPr="00247D1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47D14">
        <w:rPr>
          <w:rFonts w:asciiTheme="majorHAnsi" w:hAnsiTheme="majorHAnsi" w:cstheme="majorHAnsi"/>
          <w:b/>
          <w:sz w:val="24"/>
          <w:szCs w:val="24"/>
          <w:lang w:val="pl-PL"/>
        </w:rPr>
        <w:t>r.</w:t>
      </w:r>
      <w:r w:rsidRPr="00247D14">
        <w:rPr>
          <w:rFonts w:asciiTheme="majorHAnsi" w:hAnsiTheme="majorHAnsi" w:cstheme="majorHAnsi"/>
          <w:b/>
          <w:sz w:val="24"/>
          <w:szCs w:val="24"/>
        </w:rPr>
        <w:t xml:space="preserve"> do godziny 1:00</w:t>
      </w:r>
      <w:r w:rsidRPr="00247D14">
        <w:rPr>
          <w:rFonts w:asciiTheme="majorHAnsi" w:hAnsiTheme="majorHAnsi" w:cstheme="majorHAnsi"/>
          <w:sz w:val="24"/>
          <w:szCs w:val="24"/>
        </w:rPr>
        <w:t>.</w:t>
      </w:r>
    </w:p>
    <w:p w14:paraId="0ACA602C" w14:textId="1DD64EB7" w:rsidR="00A64902" w:rsidRPr="00247D14" w:rsidRDefault="35B383A5" w:rsidP="6293EB0D">
      <w:pPr>
        <w:pStyle w:val="lista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r w:rsidRPr="6293EB0D">
        <w:rPr>
          <w:rFonts w:asciiTheme="majorHAnsi" w:hAnsiTheme="majorHAnsi" w:cstheme="majorBidi"/>
          <w:sz w:val="24"/>
          <w:szCs w:val="24"/>
        </w:rPr>
        <w:t xml:space="preserve">Czas obowiązywania umowy od </w:t>
      </w:r>
      <w:r w:rsidRPr="6293EB0D">
        <w:rPr>
          <w:rFonts w:asciiTheme="majorHAnsi" w:hAnsiTheme="majorHAnsi" w:cstheme="majorBidi"/>
          <w:b/>
          <w:bCs/>
          <w:sz w:val="24"/>
          <w:szCs w:val="24"/>
        </w:rPr>
        <w:t>01.03.202</w:t>
      </w:r>
      <w:r w:rsidR="636E6352"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>3</w:t>
      </w:r>
      <w:r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 xml:space="preserve"> r.</w:t>
      </w:r>
      <w:r w:rsidRPr="6293EB0D">
        <w:rPr>
          <w:rFonts w:asciiTheme="majorHAnsi" w:hAnsiTheme="majorHAnsi" w:cstheme="majorBidi"/>
          <w:b/>
          <w:bCs/>
          <w:sz w:val="24"/>
          <w:szCs w:val="24"/>
        </w:rPr>
        <w:t xml:space="preserve"> do </w:t>
      </w:r>
      <w:r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>2</w:t>
      </w:r>
      <w:r w:rsidR="48207EDA"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>9</w:t>
      </w:r>
      <w:r w:rsidRPr="6293EB0D">
        <w:rPr>
          <w:rFonts w:asciiTheme="majorHAnsi" w:hAnsiTheme="majorHAnsi" w:cstheme="majorBidi"/>
          <w:b/>
          <w:bCs/>
          <w:sz w:val="24"/>
          <w:szCs w:val="24"/>
        </w:rPr>
        <w:t>.</w:t>
      </w:r>
      <w:r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>02</w:t>
      </w:r>
      <w:r w:rsidRPr="6293EB0D">
        <w:rPr>
          <w:rFonts w:asciiTheme="majorHAnsi" w:hAnsiTheme="majorHAnsi" w:cstheme="majorBidi"/>
          <w:b/>
          <w:bCs/>
          <w:sz w:val="24"/>
          <w:szCs w:val="24"/>
        </w:rPr>
        <w:t>.20</w:t>
      </w:r>
      <w:r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>2</w:t>
      </w:r>
      <w:r w:rsidR="48207EDA"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>4</w:t>
      </w:r>
      <w:r w:rsidRPr="6293EB0D">
        <w:rPr>
          <w:rFonts w:asciiTheme="majorHAnsi" w:hAnsiTheme="majorHAnsi" w:cstheme="majorBidi"/>
          <w:b/>
          <w:bCs/>
          <w:sz w:val="24"/>
          <w:szCs w:val="24"/>
          <w:lang w:val="pl-PL"/>
        </w:rPr>
        <w:t xml:space="preserve"> r.</w:t>
      </w:r>
    </w:p>
    <w:p w14:paraId="10D823AC" w14:textId="77777777" w:rsidR="00A64902" w:rsidRPr="00247D14" w:rsidRDefault="00A64902" w:rsidP="00A64902">
      <w:pPr>
        <w:pStyle w:val="lista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4EDD2CFD" w14:textId="77777777" w:rsidR="00A64902" w:rsidRPr="00247D14" w:rsidRDefault="00A64902" w:rsidP="00A64902">
      <w:pPr>
        <w:pStyle w:val="lista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1613C5E5" w14:textId="1E26C345" w:rsidR="00A64902" w:rsidRPr="00247D14" w:rsidRDefault="00A64902" w:rsidP="00A64902">
      <w:pPr>
        <w:pStyle w:val="lista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47D14">
        <w:rPr>
          <w:rFonts w:asciiTheme="majorHAnsi" w:hAnsiTheme="majorHAnsi" w:cstheme="majorHAnsi"/>
          <w:b/>
          <w:sz w:val="24"/>
          <w:szCs w:val="24"/>
        </w:rPr>
        <w:t>Istotne postanowienia</w:t>
      </w:r>
      <w:r w:rsidRPr="00247D14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="00F453C9">
        <w:rPr>
          <w:rFonts w:asciiTheme="majorHAnsi" w:hAnsiTheme="majorHAnsi" w:cstheme="majorHAnsi"/>
          <w:b/>
          <w:sz w:val="24"/>
          <w:szCs w:val="24"/>
          <w:lang w:val="pl-PL"/>
        </w:rPr>
        <w:t xml:space="preserve">umowy </w:t>
      </w:r>
      <w:r w:rsidRPr="00247D14">
        <w:rPr>
          <w:rFonts w:asciiTheme="majorHAnsi" w:hAnsiTheme="majorHAnsi" w:cstheme="majorHAnsi"/>
          <w:b/>
          <w:sz w:val="24"/>
          <w:szCs w:val="24"/>
          <w:lang w:val="pl-PL"/>
        </w:rPr>
        <w:t>wymagane przez Zamawiającego:</w:t>
      </w:r>
    </w:p>
    <w:p w14:paraId="0F9BAFD2" w14:textId="623699B6" w:rsidR="00A64902" w:rsidRPr="00247D14" w:rsidRDefault="00A64902" w:rsidP="00A64902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Przedmiotem Umowy jest świadczenie przez Wykonawcę na rzecz Zamawiającego usługi telekomunikacyjnej polegającej na zapewnieniu stałego, nieprzerwanego dostępu do Internetu szerokopasmowego, bez limitu przesyłanych lub odebranych danych oraz ilości użytkowników, zgodnie z warunkami zamówienia określonymi w </w:t>
      </w:r>
      <w:r w:rsidR="00F453C9">
        <w:rPr>
          <w:rFonts w:asciiTheme="majorHAnsi" w:hAnsiTheme="majorHAnsi" w:cstheme="majorHAnsi"/>
        </w:rPr>
        <w:t>o</w:t>
      </w:r>
      <w:r w:rsidRPr="00247D14">
        <w:rPr>
          <w:rFonts w:asciiTheme="majorHAnsi" w:hAnsiTheme="majorHAnsi" w:cstheme="majorHAnsi"/>
        </w:rPr>
        <w:t xml:space="preserve">pisie przedmiotu zamówienia stanowiącym załącznik nr 1 do Umowy oraz </w:t>
      </w:r>
      <w:r w:rsidR="00F453C9">
        <w:rPr>
          <w:rFonts w:asciiTheme="majorHAnsi" w:hAnsiTheme="majorHAnsi" w:cstheme="majorHAnsi"/>
        </w:rPr>
        <w:t xml:space="preserve">ofercie </w:t>
      </w:r>
      <w:r w:rsidRPr="00247D14">
        <w:rPr>
          <w:rFonts w:asciiTheme="majorHAnsi" w:hAnsiTheme="majorHAnsi" w:cstheme="majorHAnsi"/>
        </w:rPr>
        <w:t>Wykonawcy stanowiąc</w:t>
      </w:r>
      <w:r w:rsidR="00F453C9">
        <w:rPr>
          <w:rFonts w:asciiTheme="majorHAnsi" w:hAnsiTheme="majorHAnsi" w:cstheme="majorHAnsi"/>
        </w:rPr>
        <w:t xml:space="preserve">ej </w:t>
      </w:r>
      <w:r w:rsidRPr="00247D14">
        <w:rPr>
          <w:rFonts w:asciiTheme="majorHAnsi" w:hAnsiTheme="majorHAnsi" w:cstheme="majorHAnsi"/>
        </w:rPr>
        <w:t xml:space="preserve">załącznik nr 2 do Umowy. </w:t>
      </w:r>
    </w:p>
    <w:p w14:paraId="62B4C5A8" w14:textId="77777777" w:rsidR="00A64902" w:rsidRPr="00247D14" w:rsidRDefault="00A64902" w:rsidP="00A64902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Koszty doprowadzenia i uruchomienia łącza ponosi Wykonawca. Przez łącze rozumie się zestawienie pomiędzy routerem brzegowym będącym własnością Zamawiającego a siecią Wykonawcy, w celu korzystania z usługi przez Zamawiającego.</w:t>
      </w:r>
    </w:p>
    <w:p w14:paraId="4C0FAAFA" w14:textId="77777777" w:rsidR="00A64902" w:rsidRPr="00247D14" w:rsidRDefault="00A64902" w:rsidP="00A64902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Świadczenie usługi objętej przedmiotem niniejszej Umowy obejmuje następujące elementy:</w:t>
      </w:r>
    </w:p>
    <w:p w14:paraId="101F16B5" w14:textId="079A21CC" w:rsidR="00A64902" w:rsidRPr="00247D14" w:rsidRDefault="35B383A5" w:rsidP="6293EB0D">
      <w:pPr>
        <w:pStyle w:val="Akapitzlist"/>
        <w:widowControl w:val="0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Bidi"/>
        </w:rPr>
      </w:pPr>
      <w:r w:rsidRPr="6293EB0D">
        <w:rPr>
          <w:rFonts w:asciiTheme="majorHAnsi" w:hAnsiTheme="majorHAnsi" w:cstheme="majorBidi"/>
        </w:rPr>
        <w:t xml:space="preserve">konfigurację routera brzegowego będącego własnością Zamawiającego i uruchomienie usługi </w:t>
      </w:r>
      <w:r w:rsidR="00A64902">
        <w:br/>
      </w:r>
      <w:r w:rsidRPr="6293EB0D">
        <w:rPr>
          <w:rFonts w:asciiTheme="majorHAnsi" w:hAnsiTheme="majorHAnsi" w:cstheme="majorBidi"/>
        </w:rPr>
        <w:t xml:space="preserve">nie później niż </w:t>
      </w:r>
      <w:r w:rsidRPr="6293EB0D">
        <w:rPr>
          <w:rFonts w:asciiTheme="majorHAnsi" w:hAnsiTheme="majorHAnsi" w:cstheme="majorBidi"/>
          <w:b/>
          <w:bCs/>
        </w:rPr>
        <w:t>do dnia 1 marca 202</w:t>
      </w:r>
      <w:r w:rsidR="636E6352" w:rsidRPr="6293EB0D">
        <w:rPr>
          <w:rFonts w:asciiTheme="majorHAnsi" w:hAnsiTheme="majorHAnsi" w:cstheme="majorBidi"/>
          <w:b/>
          <w:bCs/>
        </w:rPr>
        <w:t>3</w:t>
      </w:r>
      <w:r w:rsidRPr="6293EB0D">
        <w:rPr>
          <w:rFonts w:asciiTheme="majorHAnsi" w:hAnsiTheme="majorHAnsi" w:cstheme="majorBidi"/>
          <w:b/>
          <w:bCs/>
        </w:rPr>
        <w:t xml:space="preserve"> r. do godziny 1:00</w:t>
      </w:r>
      <w:r w:rsidRPr="6293EB0D">
        <w:rPr>
          <w:rFonts w:asciiTheme="majorHAnsi" w:hAnsiTheme="majorHAnsi" w:cstheme="majorBidi"/>
        </w:rPr>
        <w:t>;</w:t>
      </w:r>
    </w:p>
    <w:p w14:paraId="13B6E816" w14:textId="461FEACD" w:rsidR="00A64902" w:rsidRPr="00247D14" w:rsidRDefault="35B383A5" w:rsidP="6293EB0D">
      <w:pPr>
        <w:pStyle w:val="Akapitzlist"/>
        <w:widowControl w:val="0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Bidi"/>
        </w:rPr>
      </w:pPr>
      <w:r w:rsidRPr="6293EB0D">
        <w:rPr>
          <w:rFonts w:asciiTheme="majorHAnsi" w:hAnsiTheme="majorHAnsi" w:cstheme="majorBidi"/>
        </w:rPr>
        <w:t xml:space="preserve">świadczenie usług dostępu do sieci Internet, o gwarantowanej przepustowości efektywnej </w:t>
      </w:r>
      <w:r w:rsidR="00A64902">
        <w:br/>
      </w:r>
      <w:r w:rsidRPr="6293EB0D">
        <w:rPr>
          <w:rFonts w:asciiTheme="majorHAnsi" w:hAnsiTheme="majorHAnsi" w:cstheme="majorBidi"/>
        </w:rPr>
        <w:t xml:space="preserve">min. </w:t>
      </w:r>
      <w:r w:rsidR="7AA3EC8D" w:rsidRPr="6293EB0D">
        <w:rPr>
          <w:rFonts w:asciiTheme="majorHAnsi" w:hAnsiTheme="majorHAnsi" w:cstheme="majorBidi"/>
        </w:rPr>
        <w:t>2</w:t>
      </w:r>
      <w:r w:rsidRPr="6293EB0D">
        <w:rPr>
          <w:rFonts w:asciiTheme="majorHAnsi" w:hAnsiTheme="majorHAnsi" w:cstheme="majorBidi"/>
        </w:rPr>
        <w:t xml:space="preserve"> </w:t>
      </w:r>
      <w:proofErr w:type="spellStart"/>
      <w:r w:rsidRPr="6293EB0D">
        <w:rPr>
          <w:rFonts w:asciiTheme="majorHAnsi" w:hAnsiTheme="majorHAnsi" w:cstheme="majorBidi"/>
        </w:rPr>
        <w:t>Gbps</w:t>
      </w:r>
      <w:proofErr w:type="spellEnd"/>
      <w:r w:rsidRPr="6293EB0D">
        <w:rPr>
          <w:rFonts w:asciiTheme="majorHAnsi" w:hAnsiTheme="majorHAnsi" w:cstheme="majorBidi"/>
        </w:rPr>
        <w:t xml:space="preserve"> w obu kierunkach równocześnie; świadczenie usługi rozpoczyna się nie później niż </w:t>
      </w:r>
      <w:r w:rsidRPr="6293EB0D">
        <w:rPr>
          <w:rFonts w:asciiTheme="majorHAnsi" w:hAnsiTheme="majorHAnsi" w:cstheme="majorBidi"/>
          <w:b/>
          <w:bCs/>
        </w:rPr>
        <w:t>od 1 marca 2023 r. godz.1:00</w:t>
      </w:r>
      <w:r w:rsidRPr="6293EB0D">
        <w:rPr>
          <w:rFonts w:asciiTheme="majorHAnsi" w:hAnsiTheme="majorHAnsi" w:cstheme="majorBidi"/>
        </w:rPr>
        <w:t xml:space="preserve"> przez okres </w:t>
      </w:r>
      <w:r w:rsidR="48207EDA" w:rsidRPr="6293EB0D">
        <w:rPr>
          <w:rFonts w:asciiTheme="majorHAnsi" w:hAnsiTheme="majorHAnsi" w:cstheme="majorBidi"/>
        </w:rPr>
        <w:t>12</w:t>
      </w:r>
      <w:r w:rsidRPr="6293EB0D">
        <w:rPr>
          <w:rFonts w:asciiTheme="majorHAnsi" w:hAnsiTheme="majorHAnsi" w:cstheme="majorBidi"/>
        </w:rPr>
        <w:t xml:space="preserve"> miesięcy tj. </w:t>
      </w:r>
      <w:r w:rsidRPr="6293EB0D">
        <w:rPr>
          <w:rFonts w:asciiTheme="majorHAnsi" w:hAnsiTheme="majorHAnsi" w:cstheme="majorBidi"/>
          <w:b/>
          <w:bCs/>
        </w:rPr>
        <w:t>do dnia 2</w:t>
      </w:r>
      <w:r w:rsidR="48207EDA" w:rsidRPr="6293EB0D">
        <w:rPr>
          <w:rFonts w:asciiTheme="majorHAnsi" w:hAnsiTheme="majorHAnsi" w:cstheme="majorBidi"/>
          <w:b/>
          <w:bCs/>
        </w:rPr>
        <w:t>9</w:t>
      </w:r>
      <w:r w:rsidRPr="6293EB0D">
        <w:rPr>
          <w:rFonts w:asciiTheme="majorHAnsi" w:hAnsiTheme="majorHAnsi" w:cstheme="majorBidi"/>
          <w:b/>
          <w:bCs/>
        </w:rPr>
        <w:t>.02.202</w:t>
      </w:r>
      <w:r w:rsidR="48207EDA" w:rsidRPr="6293EB0D">
        <w:rPr>
          <w:rFonts w:asciiTheme="majorHAnsi" w:hAnsiTheme="majorHAnsi" w:cstheme="majorBidi"/>
          <w:b/>
          <w:bCs/>
        </w:rPr>
        <w:t>4</w:t>
      </w:r>
      <w:r w:rsidRPr="6293EB0D">
        <w:rPr>
          <w:rFonts w:asciiTheme="majorHAnsi" w:hAnsiTheme="majorHAnsi" w:cstheme="majorBidi"/>
          <w:b/>
          <w:bCs/>
        </w:rPr>
        <w:t xml:space="preserve"> r.</w:t>
      </w:r>
    </w:p>
    <w:p w14:paraId="6AF24EA9" w14:textId="77777777" w:rsidR="00A64902" w:rsidRPr="00247D14" w:rsidRDefault="00A64902" w:rsidP="00A64902">
      <w:pPr>
        <w:pStyle w:val="Akapitzlist"/>
        <w:widowControl w:val="0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podłączenie usługi podlega protokołowi odbioru;</w:t>
      </w:r>
    </w:p>
    <w:p w14:paraId="6CC08BD9" w14:textId="661AC889" w:rsidR="00A64902" w:rsidRPr="00247D14" w:rsidRDefault="00A64902" w:rsidP="00A64902">
      <w:pPr>
        <w:pStyle w:val="Akapitzlist"/>
        <w:widowControl w:val="0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zapewnienie łącza awaryjnego dla łącza podstawowego, realizowane inną drogą niż łącze </w:t>
      </w:r>
      <w:r w:rsidRPr="00247D14">
        <w:rPr>
          <w:rFonts w:asciiTheme="majorHAnsi" w:hAnsiTheme="majorHAnsi" w:cstheme="majorHAnsi"/>
        </w:rPr>
        <w:lastRenderedPageBreak/>
        <w:t>podstawowe;</w:t>
      </w:r>
    </w:p>
    <w:p w14:paraId="31C1F7BF" w14:textId="77777777" w:rsidR="00A64902" w:rsidRPr="00247D14" w:rsidRDefault="00A64902" w:rsidP="00A64902">
      <w:pPr>
        <w:pStyle w:val="Akapitzlist"/>
        <w:widowControl w:val="0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obsługę zgłoszeń awarii i usuwanie awarii, tj. uszkodzeń powodujących przerwę </w:t>
      </w:r>
      <w:r w:rsidRPr="00247D14">
        <w:rPr>
          <w:rFonts w:asciiTheme="majorHAnsi" w:hAnsiTheme="majorHAnsi" w:cstheme="majorHAnsi"/>
        </w:rPr>
        <w:br/>
        <w:t>lub uniemożliwiających bądź utrudniających dostęp do sieci Internet Zamawiającemu, powstałe w urządzeniach i łączach, przy pomocy których świadczone są usługi objęte przedmiotem Umowy;</w:t>
      </w:r>
    </w:p>
    <w:p w14:paraId="794A3439" w14:textId="77777777" w:rsidR="00A64902" w:rsidRPr="00247D14" w:rsidRDefault="00A64902" w:rsidP="00A64902">
      <w:pPr>
        <w:pStyle w:val="Akapitzlist"/>
        <w:widowControl w:val="0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zapewnienie nadzoru i monitoringu w systemie 7/24.</w:t>
      </w:r>
    </w:p>
    <w:p w14:paraId="2EC266BE" w14:textId="2C8C0F3B" w:rsidR="00A64902" w:rsidRPr="00247D14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Wynagrodzenie płatne będzie z dołu. Wykonawca wystawi fakturę VAT </w:t>
      </w:r>
      <w:r w:rsidRPr="00247D14">
        <w:rPr>
          <w:rFonts w:asciiTheme="majorHAnsi" w:eastAsia="Calibri" w:hAnsiTheme="majorHAnsi" w:cstheme="majorHAnsi"/>
          <w:color w:val="000000"/>
        </w:rPr>
        <w:t xml:space="preserve">na </w:t>
      </w:r>
      <w:r w:rsidRPr="00247D14">
        <w:rPr>
          <w:rFonts w:asciiTheme="majorHAnsi" w:eastAsia="Calibri" w:hAnsiTheme="majorHAnsi" w:cstheme="majorHAnsi"/>
          <w:b/>
          <w:color w:val="000000"/>
        </w:rPr>
        <w:t>Ośrodek Przetwarzania Informacji - Państwowy Instytut Badawczy, 00-608 Warszawa, al. Niepodległości 188B, NIP: 5250009140</w:t>
      </w:r>
      <w:r w:rsidRPr="00247D14">
        <w:rPr>
          <w:rFonts w:asciiTheme="majorHAnsi" w:hAnsiTheme="majorHAnsi" w:cstheme="majorHAnsi"/>
        </w:rPr>
        <w:t xml:space="preserve"> w terminie do 5 dni po zakończeniu każdego miesiąca z 21 dniowym terminem płatności licząc od dnia otrzymania przez Zamawiającego prawidłowo wystawionej faktury VAT. </w:t>
      </w:r>
    </w:p>
    <w:p w14:paraId="72EC608F" w14:textId="77777777" w:rsidR="00A64902" w:rsidRPr="00247D14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>Zamawiający dokona zapłaty w formie przelewu środków pieniężnych na rachunek bankowy Wykonawcy wskazany w fakturze VAT.</w:t>
      </w:r>
    </w:p>
    <w:p w14:paraId="71415079" w14:textId="77777777" w:rsidR="00A64902" w:rsidRPr="00247D14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eastAsia="Calibri" w:hAnsiTheme="majorHAnsi" w:cstheme="majorHAnsi"/>
          <w:color w:val="000000"/>
        </w:rPr>
        <w:t>Za dzień zapłaty uważa się dzień obciążenia rachunku bankowego Zamawiającego.</w:t>
      </w:r>
    </w:p>
    <w:p w14:paraId="71B91BFA" w14:textId="282BD125" w:rsidR="00A64902" w:rsidRPr="00247D14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eastAsia="Calibri" w:hAnsiTheme="majorHAnsi" w:cstheme="majorHAnsi"/>
          <w:color w:val="000000"/>
          <w:u w:color="000000"/>
          <w:bdr w:val="nil"/>
        </w:rPr>
        <w:t>Zamawiający dopuszcza możliwość składania faktur w formie elektronicznej (</w:t>
      </w:r>
      <w:proofErr w:type="spellStart"/>
      <w:r w:rsidRPr="00247D14">
        <w:rPr>
          <w:rFonts w:asciiTheme="majorHAnsi" w:eastAsia="Calibri" w:hAnsiTheme="majorHAnsi" w:cstheme="majorHAnsi"/>
          <w:color w:val="000000"/>
          <w:u w:color="000000"/>
          <w:bdr w:val="nil"/>
        </w:rPr>
        <w:t>eFaktura</w:t>
      </w:r>
      <w:proofErr w:type="spellEnd"/>
      <w:r w:rsidRPr="00247D14">
        <w:rPr>
          <w:rFonts w:asciiTheme="majorHAnsi" w:eastAsia="Calibri" w:hAnsiTheme="majorHAnsi" w:cstheme="majorHAnsi"/>
          <w:color w:val="000000"/>
          <w:u w:color="000000"/>
          <w:bdr w:val="nil"/>
        </w:rPr>
        <w:t>)</w:t>
      </w:r>
      <w:r w:rsidR="001E71B4">
        <w:rPr>
          <w:rFonts w:asciiTheme="majorHAnsi" w:eastAsia="Calibri" w:hAnsiTheme="majorHAnsi" w:cstheme="majorHAnsi"/>
          <w:color w:val="000000"/>
          <w:u w:color="000000"/>
          <w:bdr w:val="nil"/>
        </w:rPr>
        <w:t xml:space="preserve">, na adres e-mail: </w:t>
      </w:r>
      <w:hyperlink r:id="rId8" w:history="1">
        <w:r w:rsidR="001E71B4" w:rsidRPr="00D3392D">
          <w:rPr>
            <w:rStyle w:val="Hipercze"/>
            <w:rFonts w:asciiTheme="majorHAnsi" w:eastAsia="Calibri" w:hAnsiTheme="majorHAnsi" w:cstheme="majorHAnsi"/>
            <w:bdr w:val="nil"/>
          </w:rPr>
          <w:t>faktury@opi.org.pl</w:t>
        </w:r>
      </w:hyperlink>
      <w:r w:rsidRPr="00247D14">
        <w:rPr>
          <w:rFonts w:asciiTheme="majorHAnsi" w:eastAsia="Calibri" w:hAnsiTheme="majorHAnsi" w:cstheme="majorHAnsi"/>
          <w:color w:val="000000"/>
          <w:u w:color="000000"/>
          <w:bdr w:val="nil"/>
        </w:rPr>
        <w:t>.</w:t>
      </w:r>
      <w:r w:rsidR="001E71B4">
        <w:rPr>
          <w:rFonts w:asciiTheme="majorHAnsi" w:eastAsia="Calibri" w:hAnsiTheme="majorHAnsi" w:cstheme="majorHAnsi"/>
          <w:color w:val="000000"/>
          <w:u w:color="000000"/>
          <w:bdr w:val="nil"/>
        </w:rPr>
        <w:t xml:space="preserve"> </w:t>
      </w:r>
      <w:r w:rsidRPr="00247D14">
        <w:rPr>
          <w:rFonts w:asciiTheme="majorHAnsi" w:eastAsia="Calibri" w:hAnsiTheme="majorHAnsi" w:cstheme="majorHAnsi"/>
          <w:color w:val="000000"/>
          <w:u w:color="000000"/>
          <w:bdr w:val="nil"/>
        </w:rPr>
        <w:t xml:space="preserve"> </w:t>
      </w:r>
    </w:p>
    <w:p w14:paraId="657346EB" w14:textId="7450B05A" w:rsidR="00A64902" w:rsidRPr="00247D14" w:rsidRDefault="35B383A5" w:rsidP="6293EB0D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Bidi"/>
        </w:rPr>
      </w:pPr>
      <w:r w:rsidRPr="6293EB0D">
        <w:rPr>
          <w:rFonts w:asciiTheme="majorHAnsi" w:eastAsia="Calibri" w:hAnsiTheme="majorHAnsi" w:cstheme="majorBidi"/>
          <w:color w:val="000000"/>
          <w:bdr w:val="nil"/>
        </w:rPr>
        <w:t xml:space="preserve">W przypadku nieuregulowania przez Zamawiającego płatności w terminie określonym </w:t>
      </w:r>
      <w:r w:rsidR="00A64902" w:rsidRPr="00247D14">
        <w:rPr>
          <w:rFonts w:asciiTheme="majorHAnsi" w:eastAsia="Calibri" w:hAnsiTheme="majorHAnsi" w:cstheme="majorHAnsi"/>
          <w:color w:val="000000"/>
          <w:u w:color="000000"/>
          <w:bdr w:val="nil"/>
        </w:rPr>
        <w:br/>
      </w:r>
      <w:r w:rsidRPr="6293EB0D">
        <w:rPr>
          <w:rFonts w:asciiTheme="majorHAnsi" w:eastAsia="Calibri" w:hAnsiTheme="majorHAnsi" w:cstheme="majorBidi"/>
          <w:color w:val="000000"/>
          <w:bdr w:val="nil"/>
        </w:rPr>
        <w:t xml:space="preserve">w ust. 4 Wykonawcy przysługuje prawo naliczania odsetek ustawowych za opóźnienie. </w:t>
      </w:r>
    </w:p>
    <w:p w14:paraId="1274A461" w14:textId="34033057" w:rsidR="00A64902" w:rsidRPr="00247D14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W razie wystąpienia istotnej zmiany okoliczności powodującej, że wykonanie Umowy </w:t>
      </w:r>
      <w:r w:rsidRPr="00247D14">
        <w:rPr>
          <w:rFonts w:asciiTheme="majorHAnsi" w:hAnsiTheme="majorHAnsi" w:cstheme="majorHAnsi"/>
        </w:rPr>
        <w:br/>
        <w:t xml:space="preserve">nie leży w interesie publicznym, czego nie można było przewidzieć w chwili zawarcia Umowy, Zamawiający może odstąpić od Umowy w terminie miesiąca od powzięcia wiadomości </w:t>
      </w:r>
      <w:r w:rsidR="001E71B4">
        <w:rPr>
          <w:rFonts w:asciiTheme="majorHAnsi" w:hAnsiTheme="majorHAnsi" w:cstheme="majorHAnsi"/>
        </w:rPr>
        <w:br/>
      </w:r>
      <w:r w:rsidRPr="00247D14">
        <w:rPr>
          <w:rFonts w:asciiTheme="majorHAnsi" w:hAnsiTheme="majorHAnsi" w:cstheme="majorHAnsi"/>
        </w:rPr>
        <w:t>o powyższych okolicznościach. W takim przypadku Wykonawca może żądać jedynie wynagrodzenia należnego z tytułu wykonanej części Umowy.</w:t>
      </w:r>
    </w:p>
    <w:p w14:paraId="1FD2CC25" w14:textId="79624069" w:rsidR="00A64902" w:rsidRPr="00247D14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</w:rPr>
        <w:t xml:space="preserve">Wszelkie zmiany niniejszej Umowy wymagają formy pisemnej lub formy elektronicznej zgodnie </w:t>
      </w:r>
      <w:r w:rsidR="001E71B4">
        <w:rPr>
          <w:rFonts w:asciiTheme="majorHAnsi" w:hAnsiTheme="majorHAnsi" w:cstheme="majorHAnsi"/>
        </w:rPr>
        <w:br/>
      </w:r>
      <w:r w:rsidRPr="00247D14">
        <w:rPr>
          <w:rFonts w:asciiTheme="majorHAnsi" w:hAnsiTheme="majorHAnsi" w:cstheme="majorHAnsi"/>
        </w:rPr>
        <w:t>z art. 78</w:t>
      </w:r>
      <w:r w:rsidRPr="00247D14">
        <w:rPr>
          <w:rFonts w:asciiTheme="majorHAnsi" w:hAnsiTheme="majorHAnsi" w:cstheme="majorHAnsi"/>
          <w:vertAlign w:val="superscript"/>
        </w:rPr>
        <w:t>1</w:t>
      </w:r>
      <w:r w:rsidRPr="00247D14">
        <w:rPr>
          <w:rFonts w:asciiTheme="majorHAnsi" w:hAnsiTheme="majorHAnsi" w:cstheme="majorHAnsi"/>
        </w:rPr>
        <w:t xml:space="preserve"> </w:t>
      </w:r>
      <w:r w:rsidRPr="00247D14">
        <w:rPr>
          <w:rFonts w:asciiTheme="majorHAnsi" w:eastAsia="Calibri" w:hAnsiTheme="majorHAnsi" w:cstheme="majorHAnsi"/>
          <w:bCs/>
          <w:color w:val="000000"/>
        </w:rPr>
        <w:t>§</w:t>
      </w:r>
      <w:r w:rsidRPr="00247D14">
        <w:rPr>
          <w:rFonts w:asciiTheme="majorHAnsi" w:hAnsiTheme="majorHAnsi" w:cstheme="majorHAnsi"/>
        </w:rPr>
        <w:t xml:space="preserve"> 1 k.c. pod rygorem nieważności. </w:t>
      </w:r>
    </w:p>
    <w:p w14:paraId="74EE760A" w14:textId="742F25D4" w:rsidR="00A64902" w:rsidRPr="00247D14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color w:val="000000"/>
        </w:rPr>
        <w:t>Umowa zawarta w dniu złożenia podpisu przez ostatnią ze Stron.</w:t>
      </w:r>
    </w:p>
    <w:p w14:paraId="4FCB3ADD" w14:textId="494DEEEF" w:rsidR="00534CD6" w:rsidRPr="00247D14" w:rsidRDefault="00534CD6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color w:val="000000"/>
        </w:rPr>
        <w:t>Wartość całkowitego/maksymalnego wynagrodzenia wynosi</w:t>
      </w:r>
      <w:r w:rsidR="001E71B4">
        <w:rPr>
          <w:rFonts w:asciiTheme="majorHAnsi" w:hAnsiTheme="majorHAnsi" w:cstheme="majorHAnsi"/>
          <w:color w:val="000000"/>
        </w:rPr>
        <w:t xml:space="preserve"> </w:t>
      </w:r>
      <w:r w:rsidRPr="00247D14">
        <w:rPr>
          <w:rFonts w:asciiTheme="majorHAnsi" w:hAnsiTheme="majorHAnsi" w:cstheme="majorHAnsi"/>
          <w:color w:val="000000"/>
        </w:rPr>
        <w:t>……</w:t>
      </w:r>
    </w:p>
    <w:p w14:paraId="7B334C39" w14:textId="77777777" w:rsidR="00A64902" w:rsidRPr="005B0D6D" w:rsidRDefault="00A64902" w:rsidP="00A64902">
      <w:pPr>
        <w:pStyle w:val="Akapitzlist"/>
        <w:widowControl w:val="0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5B0D6D">
        <w:rPr>
          <w:rFonts w:asciiTheme="majorHAnsi" w:hAnsiTheme="majorHAnsi" w:cstheme="majorHAnsi"/>
        </w:rPr>
        <w:t>Wykonanie przedmiotu umowy jest finansowane ze środków Pomocy Technicznej, Działanie 5.1 Programu Operacyjnego Inteligentny Rozwój, oraz ze środków i dotacji OPI PIB.</w:t>
      </w:r>
    </w:p>
    <w:p w14:paraId="7A002ACD" w14:textId="77777777" w:rsidR="00A64902" w:rsidRPr="00247D14" w:rsidRDefault="00A64902" w:rsidP="00A64902">
      <w:pPr>
        <w:pStyle w:val="StandardowyStandardowy1"/>
        <w:spacing w:line="276" w:lineRule="auto"/>
        <w:ind w:left="36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37703AA" w14:textId="77777777" w:rsidR="00A64902" w:rsidRPr="00247D14" w:rsidRDefault="00A64902" w:rsidP="00A64902">
      <w:pPr>
        <w:autoSpaceDE w:val="0"/>
        <w:autoSpaceDN w:val="0"/>
        <w:adjustRightInd w:val="0"/>
        <w:spacing w:line="276" w:lineRule="auto"/>
        <w:ind w:left="300"/>
        <w:jc w:val="center"/>
        <w:rPr>
          <w:rFonts w:asciiTheme="majorHAnsi" w:hAnsiTheme="majorHAnsi" w:cstheme="majorHAnsi"/>
          <w:b/>
          <w:bCs/>
        </w:rPr>
      </w:pPr>
      <w:r w:rsidRPr="00247D14">
        <w:rPr>
          <w:rFonts w:asciiTheme="majorHAnsi" w:hAnsiTheme="majorHAnsi" w:cstheme="majorHAnsi"/>
          <w:b/>
          <w:bCs/>
        </w:rPr>
        <w:t>Załącznik nr 3 do umowy – klauzula informacyjna dot. przetwarzania danych osobowych</w:t>
      </w:r>
    </w:p>
    <w:p w14:paraId="37D48113" w14:textId="77777777" w:rsidR="00A64902" w:rsidRPr="00247D14" w:rsidRDefault="00A64902" w:rsidP="00A6490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</w:rPr>
        <w:t xml:space="preserve">Zamawiający oświadcza, iż jest administratorem w rozumieniu art. 4 pkt 7) Rozporządzenia UE 2016/679 z dnia 27 kwietnia 2016 r., zwanego dalej RODO, w odniesieniu do danych osobowych osób fizycznych reprezentujących Wykonawcę oraz osób fizycznych wskazanych przez </w:t>
      </w:r>
      <w:r w:rsidRPr="00247D14">
        <w:rPr>
          <w:rFonts w:asciiTheme="majorHAnsi" w:hAnsiTheme="majorHAnsi" w:cstheme="majorHAnsi"/>
          <w:bCs/>
        </w:rPr>
        <w:lastRenderedPageBreak/>
        <w:t>Wykonawcę jako osoby do kontaktu/ osoby odpowiedzialne za wykonanie niniejszej Umowy</w:t>
      </w:r>
      <w:r w:rsidRPr="00247D14">
        <w:rPr>
          <w:rFonts w:asciiTheme="majorHAnsi" w:hAnsiTheme="majorHAnsi" w:cstheme="majorHAnsi"/>
          <w:bCs/>
          <w:lang w:eastAsia="ar-SA"/>
        </w:rPr>
        <w:t xml:space="preserve">. </w:t>
      </w:r>
      <w:r w:rsidRPr="00247D14">
        <w:rPr>
          <w:rFonts w:asciiTheme="majorHAnsi" w:hAnsiTheme="majorHAnsi" w:cstheme="majorHAnsi"/>
          <w:lang w:eastAsia="ar-SA"/>
        </w:rPr>
        <w:t xml:space="preserve">Kontakt do administratora możliwy jest pod adresem e-mail: </w:t>
      </w:r>
      <w:hyperlink r:id="rId9" w:history="1">
        <w:r w:rsidRPr="00247D14">
          <w:rPr>
            <w:rFonts w:asciiTheme="majorHAnsi" w:hAnsiTheme="majorHAnsi" w:cstheme="majorHAnsi"/>
            <w:color w:val="0563C1" w:themeColor="hyperlink"/>
            <w:u w:val="single"/>
            <w:shd w:val="clear" w:color="auto" w:fill="FFFFFF"/>
            <w:lang w:eastAsia="ar-SA"/>
          </w:rPr>
          <w:t>o</w:t>
        </w:r>
      </w:hyperlink>
      <w:r w:rsidRPr="00247D14">
        <w:rPr>
          <w:rFonts w:asciiTheme="majorHAnsi" w:hAnsiTheme="majorHAnsi" w:cstheme="majorHAnsi"/>
          <w:color w:val="0563C1" w:themeColor="hyperlink"/>
          <w:u w:val="single"/>
          <w:shd w:val="clear" w:color="auto" w:fill="FFFFFF"/>
          <w:lang w:eastAsia="ar-SA"/>
        </w:rPr>
        <w:t>pi@opi.org.pl</w:t>
      </w:r>
    </w:p>
    <w:p w14:paraId="6E689A87" w14:textId="77777777" w:rsidR="00A64902" w:rsidRPr="00247D14" w:rsidRDefault="00A64902" w:rsidP="00A6490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  <w:lang w:eastAsia="ar-SA"/>
        </w:rPr>
        <w:t xml:space="preserve">Zamawiający oświadcza, że wyznaczył inspektora ochrony danych, z którym w sprawach dotyczących danych osobowych lub realizacji praw osób, których dane dotyczą istnieje możliwość kontaktu za pośrednictwem adresu e-mail: </w:t>
      </w:r>
      <w:hyperlink r:id="rId10" w:history="1">
        <w:r w:rsidRPr="00247D14">
          <w:rPr>
            <w:rFonts w:asciiTheme="majorHAnsi" w:hAnsiTheme="majorHAnsi" w:cstheme="majorHAnsi"/>
            <w:bCs/>
            <w:i/>
            <w:color w:val="0563C1" w:themeColor="hyperlink"/>
            <w:u w:val="single"/>
            <w:lang w:eastAsia="ar-SA"/>
          </w:rPr>
          <w:t>iod@opi.org.pl</w:t>
        </w:r>
      </w:hyperlink>
      <w:r w:rsidRPr="00247D14">
        <w:rPr>
          <w:rFonts w:asciiTheme="majorHAnsi" w:hAnsiTheme="majorHAnsi" w:cstheme="majorHAnsi"/>
          <w:bCs/>
          <w:i/>
          <w:lang w:eastAsia="ar-SA"/>
        </w:rPr>
        <w:t>.</w:t>
      </w:r>
    </w:p>
    <w:p w14:paraId="3DFD2B13" w14:textId="77777777" w:rsidR="00A64902" w:rsidRPr="00247D14" w:rsidRDefault="00A64902" w:rsidP="00A6490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  <w:lang w:eastAsia="ar-SA"/>
        </w:rPr>
        <w:t>Dane osobowe osób, o których mowa w ust. 1, będą przetwarzane przez Zamawiającego na podstawie art. 6 ust. 1. lit. b) lub f)</w:t>
      </w:r>
      <w:r w:rsidRPr="00247D14">
        <w:rPr>
          <w:rFonts w:asciiTheme="majorHAnsi" w:hAnsiTheme="majorHAnsi" w:cstheme="majorHAnsi"/>
          <w:vertAlign w:val="superscript"/>
          <w:lang w:eastAsia="ar-SA"/>
        </w:rPr>
        <w:footnoteReference w:id="2"/>
      </w:r>
      <w:r w:rsidRPr="00247D14">
        <w:rPr>
          <w:rFonts w:asciiTheme="majorHAnsi" w:hAnsiTheme="majorHAnsi" w:cstheme="majorHAnsi"/>
          <w:bCs/>
          <w:lang w:eastAsia="ar-SA"/>
        </w:rPr>
        <w:t xml:space="preserve"> RODO jedynie w celu i zakresie niezbędnym do zawarcia Umowy i wykonania zadań związanych z realizacją niniejszej Umowy</w:t>
      </w:r>
      <w:r w:rsidRPr="00247D14">
        <w:rPr>
          <w:rFonts w:asciiTheme="majorHAnsi" w:hAnsiTheme="majorHAnsi" w:cstheme="majorHAnsi"/>
          <w:bCs/>
        </w:rPr>
        <w:t xml:space="preserve"> lub </w:t>
      </w:r>
      <w:r w:rsidRPr="00247D14">
        <w:rPr>
          <w:rFonts w:asciiTheme="majorHAnsi" w:hAnsiTheme="majorHAnsi" w:cstheme="majorHAnsi"/>
          <w:bCs/>
          <w:lang w:eastAsia="ar-SA"/>
        </w:rPr>
        <w:t xml:space="preserve">ewentualnego dochodzenia, ustalenia, obrony roszczeń, a także </w:t>
      </w:r>
      <w:r w:rsidRPr="00247D14">
        <w:rPr>
          <w:rFonts w:asciiTheme="majorHAnsi" w:hAnsiTheme="majorHAnsi" w:cstheme="majorHAnsi"/>
          <w:lang w:eastAsia="ar-SA"/>
        </w:rPr>
        <w:t xml:space="preserve">w oparciu o przesłankę wskazaną w art. 6 ust. 1 lit. c) RODO </w:t>
      </w:r>
      <w:r w:rsidRPr="00247D14">
        <w:rPr>
          <w:rFonts w:asciiTheme="majorHAnsi" w:hAnsiTheme="majorHAnsi" w:cstheme="majorHAnsi"/>
          <w:bCs/>
          <w:lang w:eastAsia="ar-SA"/>
        </w:rPr>
        <w:t>dla wypełnienia prawnego obowiązków określonych:</w:t>
      </w:r>
    </w:p>
    <w:p w14:paraId="346A3F76" w14:textId="7C74E03E" w:rsidR="00A64902" w:rsidRPr="00247D14" w:rsidRDefault="35B383A5" w:rsidP="6293EB0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160" w:line="276" w:lineRule="auto"/>
        <w:jc w:val="both"/>
        <w:rPr>
          <w:rFonts w:asciiTheme="majorHAnsi" w:hAnsiTheme="majorHAnsi" w:cstheme="majorBidi"/>
        </w:rPr>
      </w:pPr>
      <w:r w:rsidRPr="6293EB0D">
        <w:rPr>
          <w:rFonts w:asciiTheme="majorHAnsi" w:hAnsiTheme="majorHAnsi" w:cstheme="majorBidi"/>
        </w:rPr>
        <w:t>w ustawie z dnia 11 lipca 2014</w:t>
      </w:r>
      <w:r w:rsidR="08D71606" w:rsidRPr="6293EB0D">
        <w:rPr>
          <w:rFonts w:asciiTheme="majorHAnsi" w:hAnsiTheme="majorHAnsi" w:cstheme="majorBidi"/>
        </w:rPr>
        <w:t xml:space="preserve"> </w:t>
      </w:r>
      <w:r w:rsidRPr="6293EB0D">
        <w:rPr>
          <w:rFonts w:asciiTheme="majorHAnsi" w:hAnsiTheme="majorHAnsi" w:cstheme="majorBidi"/>
        </w:rPr>
        <w:t xml:space="preserve">r. </w:t>
      </w:r>
      <w:r w:rsidR="6B927C88" w:rsidRPr="6293EB0D">
        <w:rPr>
          <w:rFonts w:asciiTheme="majorHAnsi" w:hAnsiTheme="majorHAnsi" w:cstheme="majorBidi"/>
        </w:rPr>
        <w:t>o zasadach realizacji programów w zakresie polityki spójności finansowanych w perspektywie finansowej 2014-2020, a także ustawy z dnia 28 kwietnia 2022</w:t>
      </w:r>
      <w:r w:rsidR="33048DD7" w:rsidRPr="6293EB0D">
        <w:rPr>
          <w:rFonts w:asciiTheme="majorHAnsi" w:hAnsiTheme="majorHAnsi" w:cstheme="majorBidi"/>
        </w:rPr>
        <w:t xml:space="preserve"> </w:t>
      </w:r>
      <w:r w:rsidR="6B927C88" w:rsidRPr="6293EB0D">
        <w:rPr>
          <w:rFonts w:asciiTheme="majorHAnsi" w:hAnsiTheme="majorHAnsi" w:cstheme="majorBidi"/>
        </w:rPr>
        <w:t>r. o zasadach realizacji zadań finansowanych ze środków europejskich w perspektywie finansowej 2021–2027</w:t>
      </w:r>
      <w:r w:rsidRPr="6293EB0D">
        <w:rPr>
          <w:rFonts w:asciiTheme="majorHAnsi" w:hAnsiTheme="majorHAnsi" w:cstheme="majorBidi"/>
        </w:rPr>
        <w:t>,</w:t>
      </w:r>
    </w:p>
    <w:p w14:paraId="6B115740" w14:textId="77777777" w:rsidR="00A64902" w:rsidRPr="00247D14" w:rsidRDefault="00A64902" w:rsidP="001E71B4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bCs/>
          <w:lang w:eastAsia="ar-SA"/>
        </w:rPr>
        <w:t xml:space="preserve">w </w:t>
      </w:r>
      <w:r w:rsidRPr="00247D14">
        <w:rPr>
          <w:rFonts w:asciiTheme="majorHAnsi" w:hAnsiTheme="majorHAnsi" w:cstheme="majorHAnsi"/>
          <w:lang w:eastAsia="ar-SA"/>
        </w:rPr>
        <w:t>ustawie o narodowym zasobie archiwalnym</w:t>
      </w:r>
      <w:r w:rsidRPr="00247D14">
        <w:rPr>
          <w:rFonts w:asciiTheme="majorHAnsi" w:hAnsiTheme="majorHAnsi" w:cstheme="majorHAnsi"/>
          <w:bCs/>
          <w:lang w:eastAsia="ar-SA"/>
        </w:rPr>
        <w:t xml:space="preserve"> </w:t>
      </w:r>
      <w:r w:rsidRPr="00247D14">
        <w:rPr>
          <w:rFonts w:asciiTheme="majorHAnsi" w:hAnsiTheme="majorHAnsi" w:cstheme="majorHAnsi"/>
          <w:lang w:eastAsia="ar-SA"/>
        </w:rPr>
        <w:t xml:space="preserve">i </w:t>
      </w:r>
      <w:r w:rsidRPr="00247D14">
        <w:rPr>
          <w:rFonts w:asciiTheme="majorHAnsi" w:hAnsiTheme="majorHAnsi" w:cstheme="majorHAnsi"/>
          <w:iCs/>
          <w:lang w:eastAsia="ar-SA"/>
        </w:rPr>
        <w:t>archiwach,</w:t>
      </w:r>
      <w:r w:rsidRPr="00247D14">
        <w:rPr>
          <w:rFonts w:asciiTheme="majorHAnsi" w:hAnsiTheme="majorHAnsi" w:cstheme="majorHAnsi"/>
          <w:lang w:eastAsia="ar-SA"/>
        </w:rPr>
        <w:t xml:space="preserve"> na podstawie którego Zamawiający ma obowiązek zarchiwizowania dokumentów</w:t>
      </w:r>
      <w:r w:rsidRPr="00247D14">
        <w:rPr>
          <w:rFonts w:asciiTheme="majorHAnsi" w:hAnsiTheme="majorHAnsi" w:cstheme="majorHAnsi"/>
          <w:bCs/>
          <w:lang w:eastAsia="ar-SA"/>
        </w:rPr>
        <w:t>.</w:t>
      </w:r>
    </w:p>
    <w:p w14:paraId="134D13BC" w14:textId="6A54FBF4" w:rsidR="00A64902" w:rsidRPr="00247D14" w:rsidRDefault="00A64902" w:rsidP="00A6490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247D14">
        <w:rPr>
          <w:rFonts w:asciiTheme="majorHAnsi" w:hAnsiTheme="majorHAnsi" w:cstheme="majorHAnsi"/>
          <w:lang w:eastAsia="ar-SA"/>
        </w:rPr>
        <w:t xml:space="preserve">     Dane</w:t>
      </w:r>
      <w:r w:rsidR="005366C8">
        <w:rPr>
          <w:rFonts w:asciiTheme="majorHAnsi" w:hAnsiTheme="majorHAnsi" w:cstheme="majorHAnsi"/>
          <w:lang w:eastAsia="ar-SA"/>
        </w:rPr>
        <w:t xml:space="preserve"> osobowe </w:t>
      </w:r>
      <w:r w:rsidR="00E948CC">
        <w:rPr>
          <w:rFonts w:asciiTheme="majorHAnsi" w:hAnsiTheme="majorHAnsi" w:cstheme="majorHAnsi"/>
          <w:lang w:eastAsia="ar-SA"/>
        </w:rPr>
        <w:t>osób wskazanych do wykonania umowy</w:t>
      </w:r>
      <w:r w:rsidRPr="00247D14">
        <w:rPr>
          <w:rFonts w:asciiTheme="majorHAnsi" w:hAnsiTheme="majorHAnsi" w:cstheme="majorHAnsi"/>
          <w:lang w:eastAsia="ar-SA"/>
        </w:rPr>
        <w:t xml:space="preserve"> będą przetwarzane w kategorii danych identyfikacyjnych i kontaktowych</w:t>
      </w:r>
      <w:r w:rsidR="00E948CC">
        <w:rPr>
          <w:rFonts w:asciiTheme="majorHAnsi" w:hAnsiTheme="majorHAnsi" w:cstheme="majorHAnsi"/>
          <w:lang w:eastAsia="ar-SA"/>
        </w:rPr>
        <w:t xml:space="preserve"> i zostały przekazane przez Wykonawcę</w:t>
      </w:r>
      <w:r w:rsidRPr="00247D14">
        <w:rPr>
          <w:rFonts w:asciiTheme="majorHAnsi" w:hAnsiTheme="majorHAnsi" w:cstheme="majorHAnsi"/>
          <w:lang w:eastAsia="ar-SA"/>
        </w:rPr>
        <w:t>.</w:t>
      </w:r>
    </w:p>
    <w:p w14:paraId="0EFAD2EA" w14:textId="77777777" w:rsidR="00A64902" w:rsidRPr="00247D14" w:rsidRDefault="00A64902" w:rsidP="00A6490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  <w:lang w:eastAsia="ar-SA"/>
        </w:rPr>
        <w:t>Dane osobowe osób, o których mowa w ust. 1, nie będą przekazywane podmiotom trzecim, o ile nie będzie się to wiązało z koniecznością wynikającą z realizacji niniejszej Umowy lub obowiązujących przepisów prawa.</w:t>
      </w:r>
    </w:p>
    <w:p w14:paraId="477A16A7" w14:textId="4372E68B" w:rsidR="00A64902" w:rsidRPr="00247D14" w:rsidRDefault="35B383A5" w:rsidP="6293EB0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Bidi"/>
        </w:rPr>
      </w:pPr>
      <w:r w:rsidRPr="6293EB0D">
        <w:rPr>
          <w:rFonts w:asciiTheme="majorHAnsi" w:hAnsiTheme="majorHAnsi" w:cstheme="majorBidi"/>
        </w:rPr>
        <w:t xml:space="preserve">Dane osobowe, będą przetwarzane przez okres obowiązywania Umowy oraz przez okres 3 lat </w:t>
      </w:r>
      <w:r w:rsidR="00A64902">
        <w:br/>
      </w:r>
      <w:r w:rsidRPr="6293EB0D">
        <w:rPr>
          <w:rFonts w:asciiTheme="majorHAnsi" w:hAnsiTheme="majorHAnsi" w:cstheme="majorBidi"/>
        </w:rPr>
        <w:t>od jej wykonania, chyba że osoba</w:t>
      </w:r>
      <w:r w:rsidR="2AB32CDF" w:rsidRPr="6293EB0D">
        <w:rPr>
          <w:rFonts w:asciiTheme="majorHAnsi" w:hAnsiTheme="majorHAnsi" w:cstheme="majorBidi"/>
        </w:rPr>
        <w:t>,</w:t>
      </w:r>
      <w:r w:rsidRPr="6293EB0D">
        <w:rPr>
          <w:rFonts w:asciiTheme="majorHAnsi" w:hAnsiTheme="majorHAnsi" w:cstheme="majorBidi"/>
        </w:rPr>
        <w:t xml:space="preserve"> której dane dotyczą wniesie sprzeciw wobec przetwarzania jej danych z przyczyn związanych z jej szczególną sytuacją, a Zamawiający nie wykaże istnienia ważnych prawnie uzasadnionych podstaw przetwarzania, nadrzędnych wobec interesów, praw </w:t>
      </w:r>
      <w:r w:rsidR="00A64902">
        <w:br/>
      </w:r>
      <w:r w:rsidRPr="6293EB0D">
        <w:rPr>
          <w:rFonts w:asciiTheme="majorHAnsi" w:hAnsiTheme="majorHAnsi" w:cstheme="majorBidi"/>
        </w:rPr>
        <w:t xml:space="preserve">i wolności tej osoby, lub podstaw do ustalenia, dochodzenia lub obrony roszczeń. W przypadku wniesienia roszczeń z tytułu realizacji Umowy dane osobowe będą przetwarzane do momentu wyczerpania przysługujących Stronom z tego tytułu środków ochrony prawnej. Dane osobowe </w:t>
      </w:r>
      <w:r w:rsidR="00A64902">
        <w:br/>
      </w:r>
      <w:r w:rsidRPr="6293EB0D">
        <w:rPr>
          <w:rFonts w:asciiTheme="majorHAnsi" w:hAnsiTheme="majorHAnsi" w:cstheme="majorBidi"/>
        </w:rPr>
        <w:t xml:space="preserve">w celach związanych z realizacją obowiązków wynikających z finansowania przedmiotu umowy </w:t>
      </w:r>
      <w:r w:rsidR="00A64902">
        <w:br/>
      </w:r>
      <w:r w:rsidRPr="6293EB0D">
        <w:rPr>
          <w:rFonts w:asciiTheme="majorHAnsi" w:hAnsiTheme="majorHAnsi" w:cstheme="majorBidi"/>
        </w:rPr>
        <w:t>ze źródeł pochodzących z UE będą przetwarzane przez okres do 10 lat w zależności od programu</w:t>
      </w:r>
      <w:r w:rsidR="534D8CB1" w:rsidRPr="6293EB0D">
        <w:rPr>
          <w:rFonts w:asciiTheme="majorHAnsi" w:hAnsiTheme="majorHAnsi" w:cstheme="majorBidi"/>
        </w:rPr>
        <w:t>,</w:t>
      </w:r>
      <w:r w:rsidRPr="6293EB0D">
        <w:rPr>
          <w:rFonts w:asciiTheme="majorHAnsi" w:hAnsiTheme="majorHAnsi" w:cstheme="majorBidi"/>
        </w:rPr>
        <w:t xml:space="preserve"> z którego pochodzi finansowanie przedmiotu umowy. Dane w celach archiwalnych będą przetwarzane wieczyście najpierw w archiwum zakładowym, a następnie zgodnie z instrukcją kancelaryjną zostaną przekazane do archiwum państwowego.</w:t>
      </w:r>
    </w:p>
    <w:p w14:paraId="31C3CEA0" w14:textId="46CEB1D4" w:rsidR="00A64902" w:rsidRPr="00247D14" w:rsidRDefault="00A64902" w:rsidP="00A6490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  <w:lang w:eastAsia="ar-SA"/>
        </w:rPr>
        <w:lastRenderedPageBreak/>
        <w:t xml:space="preserve">Osobom, o których mowa w ust. 1, przysługuje prawo do żądania od administratora danych dostępu do ich danych osobowych, ich sprostowania, usunięcia lub ograniczenia przetwarzania lub wniesienia sprzeciwu wobec ich przetwarzania. </w:t>
      </w:r>
      <w:r w:rsidRPr="00247D14">
        <w:rPr>
          <w:rFonts w:asciiTheme="majorHAnsi" w:hAnsiTheme="majorHAnsi" w:cstheme="majorHAnsi"/>
          <w:lang w:eastAsia="ar-SA"/>
        </w:rPr>
        <w:t>Osoba, która złożyła wniosek lub żądanie dotyczące przetwarzania jej danych osobowych, w ramach korzystania z przysługujących jej praw, może zostać poproszona przez Administratora o odpowiedź na kilka pytań związanych z jej danymi osobowymi, które umożliwią weryfikację jej tożsamości.</w:t>
      </w:r>
    </w:p>
    <w:p w14:paraId="3FDA8E51" w14:textId="77777777" w:rsidR="00A64902" w:rsidRPr="00247D14" w:rsidRDefault="00A64902" w:rsidP="00A6490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  <w:lang w:eastAsia="ar-SA"/>
        </w:rPr>
        <w:t>Osobom, o których mowa w ust. 1, w związku z przetwarzaniem ich danych osobowych przysługuje prawo do wniesienia skargi do organu nadzorczego – Prezesa Urzędu Ochrony Danych Osobowych.</w:t>
      </w:r>
    </w:p>
    <w:p w14:paraId="3E928A20" w14:textId="77777777" w:rsidR="00A64902" w:rsidRDefault="00A64902" w:rsidP="00A6490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  <w:lang w:eastAsia="ar-SA"/>
        </w:rPr>
        <w:t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1F588B12" w14:textId="77777777" w:rsidR="00557405" w:rsidRPr="00557405" w:rsidRDefault="00557405" w:rsidP="0055740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ajorHAnsi" w:hAnsiTheme="majorHAnsi" w:cstheme="majorHAnsi"/>
          <w:bCs/>
        </w:rPr>
      </w:pPr>
      <w:r w:rsidRPr="00557405">
        <w:rPr>
          <w:rFonts w:asciiTheme="majorHAnsi" w:eastAsia="Calibri" w:hAnsiTheme="majorHAnsi" w:cstheme="majorHAnsi"/>
        </w:rPr>
        <w:t>Dane osobowe nie będą przetwarzane w celach związanych z automatycznym podejmowaniem decyzji,</w:t>
      </w:r>
      <w:r w:rsidRPr="00557405">
        <w:rPr>
          <w:rFonts w:asciiTheme="majorHAnsi" w:hAnsiTheme="majorHAnsi" w:cstheme="majorHAnsi"/>
          <w:bCs/>
        </w:rPr>
        <w:t xml:space="preserve"> </w:t>
      </w:r>
      <w:r w:rsidRPr="00557405">
        <w:rPr>
          <w:rFonts w:asciiTheme="majorHAnsi" w:eastAsia="Calibri" w:hAnsiTheme="majorHAnsi" w:cstheme="majorHAnsi"/>
        </w:rPr>
        <w:t>w tym w oparciu o profilowanie.</w:t>
      </w:r>
    </w:p>
    <w:p w14:paraId="22DBE278" w14:textId="77777777" w:rsidR="00557405" w:rsidRPr="00557405" w:rsidRDefault="00557405" w:rsidP="0055740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00" w:hanging="442"/>
        <w:jc w:val="both"/>
        <w:rPr>
          <w:rFonts w:asciiTheme="majorHAnsi" w:hAnsiTheme="majorHAnsi" w:cstheme="majorHAnsi"/>
          <w:bCs/>
        </w:rPr>
      </w:pPr>
      <w:r w:rsidRPr="00557405">
        <w:rPr>
          <w:rFonts w:asciiTheme="majorHAnsi" w:eastAsia="Calibri" w:hAnsiTheme="majorHAnsi" w:cstheme="majorHAnsi"/>
        </w:rPr>
        <w:t>Dane osobowe nie będą przekazywane do państw trzecich, ani organizacji międzynarodowych.</w:t>
      </w:r>
    </w:p>
    <w:p w14:paraId="16C9B928" w14:textId="77777777" w:rsidR="00A64902" w:rsidRPr="00247D14" w:rsidRDefault="00A64902" w:rsidP="00557405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300" w:hanging="442"/>
        <w:jc w:val="both"/>
        <w:rPr>
          <w:rFonts w:asciiTheme="majorHAnsi" w:hAnsiTheme="majorHAnsi" w:cstheme="majorHAnsi"/>
          <w:bCs/>
          <w:lang w:eastAsia="ar-SA"/>
        </w:rPr>
      </w:pPr>
      <w:r w:rsidRPr="00247D14">
        <w:rPr>
          <w:rFonts w:asciiTheme="majorHAnsi" w:hAnsiTheme="majorHAnsi" w:cstheme="majorHAnsi"/>
          <w:bCs/>
          <w:lang w:eastAsia="ar-SA"/>
        </w:rPr>
        <w:t xml:space="preserve">Wykonawca zobowiązuje się poinformować osoby fizyczne niepodpisujące niniejszej Umowy, </w:t>
      </w:r>
      <w:r w:rsidRPr="00247D14">
        <w:rPr>
          <w:rFonts w:asciiTheme="majorHAnsi" w:hAnsiTheme="majorHAnsi" w:cstheme="majorHAnsi"/>
          <w:bCs/>
          <w:lang w:eastAsia="ar-SA"/>
        </w:rPr>
        <w:br/>
        <w:t>o których mowa w ust. 1, o treści niniejszego paragrafu.</w:t>
      </w:r>
    </w:p>
    <w:p w14:paraId="53D0EA9A" w14:textId="77777777" w:rsidR="00A64902" w:rsidRPr="00247D14" w:rsidRDefault="00A64902" w:rsidP="00A64902">
      <w:pPr>
        <w:autoSpaceDE w:val="0"/>
        <w:autoSpaceDN w:val="0"/>
        <w:adjustRightInd w:val="0"/>
        <w:spacing w:line="276" w:lineRule="auto"/>
        <w:ind w:left="300"/>
        <w:jc w:val="both"/>
        <w:rPr>
          <w:rFonts w:asciiTheme="majorHAnsi" w:hAnsiTheme="majorHAnsi" w:cstheme="majorHAnsi"/>
        </w:rPr>
      </w:pPr>
    </w:p>
    <w:p w14:paraId="2D3004BF" w14:textId="721A1EEC" w:rsidR="00367BF4" w:rsidRPr="00247D14" w:rsidRDefault="00367BF4" w:rsidP="00A64902">
      <w:pPr>
        <w:rPr>
          <w:rFonts w:asciiTheme="majorHAnsi" w:hAnsiTheme="majorHAnsi" w:cstheme="majorHAnsi"/>
        </w:rPr>
      </w:pPr>
    </w:p>
    <w:sectPr w:rsidR="00367BF4" w:rsidRPr="00247D14" w:rsidSect="00C544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3" w:bottom="2410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500E" w14:textId="77777777" w:rsidR="00251707" w:rsidRDefault="00251707" w:rsidP="00857979">
      <w:r>
        <w:separator/>
      </w:r>
    </w:p>
  </w:endnote>
  <w:endnote w:type="continuationSeparator" w:id="0">
    <w:p w14:paraId="2971FD5B" w14:textId="77777777" w:rsidR="00251707" w:rsidRDefault="00251707" w:rsidP="00857979">
      <w:r>
        <w:continuationSeparator/>
      </w:r>
    </w:p>
  </w:endnote>
  <w:endnote w:type="continuationNotice" w:id="1">
    <w:p w14:paraId="53C1C54B" w14:textId="77777777" w:rsidR="00251707" w:rsidRDefault="00251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PFPPF+Georgia-Bold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023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878BFB" w14:textId="02FB3414" w:rsidR="00D1752F" w:rsidRDefault="00D1752F" w:rsidP="00D1752F">
            <w:pPr>
              <w:pStyle w:val="Stopk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0CD10C93" wp14:editId="6ADF3EA4">
                  <wp:simplePos x="0" y="0"/>
                  <wp:positionH relativeFrom="column">
                    <wp:posOffset>-668020</wp:posOffset>
                  </wp:positionH>
                  <wp:positionV relativeFrom="paragraph">
                    <wp:posOffset>-74295</wp:posOffset>
                  </wp:positionV>
                  <wp:extent cx="7541260" cy="902335"/>
                  <wp:effectExtent l="0" t="0" r="2540" b="0"/>
                  <wp:wrapTight wrapText="bothSides">
                    <wp:wrapPolygon edited="0">
                      <wp:start x="0" y="0"/>
                      <wp:lineTo x="0" y="20977"/>
                      <wp:lineTo x="21553" y="20977"/>
                      <wp:lineTo x="2155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52F">
              <w:rPr>
                <w:rFonts w:asciiTheme="majorHAnsi" w:hAnsiTheme="majorHAnsi" w:cstheme="majorHAnsi"/>
                <w:sz w:val="16"/>
                <w:szCs w:val="16"/>
              </w:rPr>
              <w:t xml:space="preserve">Strona </w:t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D1752F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D175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D35B09" w14:textId="71686214" w:rsidR="00857979" w:rsidRDefault="00857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D074" w14:textId="77777777" w:rsidR="00857979" w:rsidRDefault="00EB6202" w:rsidP="00CD6CEC">
    <w:pPr>
      <w:pStyle w:val="Stopka"/>
      <w:ind w:hanging="1134"/>
    </w:pPr>
    <w:r>
      <w:rPr>
        <w:noProof/>
        <w:lang w:eastAsia="pl-PL" w:bidi="ar-SA"/>
      </w:rPr>
      <w:drawing>
        <wp:inline distT="0" distB="0" distL="0" distR="0" wp14:anchorId="684BAD45" wp14:editId="3A4317B1">
          <wp:extent cx="7536180" cy="1790700"/>
          <wp:effectExtent l="0" t="0" r="7620" b="0"/>
          <wp:docPr id="10" name="Obraz 10" descr="papier-NCBiR'22-EFRR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NCBiR'22-EFRR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C048" w14:textId="77777777" w:rsidR="00251707" w:rsidRDefault="00251707" w:rsidP="00857979">
      <w:r>
        <w:separator/>
      </w:r>
    </w:p>
  </w:footnote>
  <w:footnote w:type="continuationSeparator" w:id="0">
    <w:p w14:paraId="7FE1D7D2" w14:textId="77777777" w:rsidR="00251707" w:rsidRDefault="00251707" w:rsidP="00857979">
      <w:r>
        <w:continuationSeparator/>
      </w:r>
    </w:p>
  </w:footnote>
  <w:footnote w:type="continuationNotice" w:id="1">
    <w:p w14:paraId="20C25EEB" w14:textId="77777777" w:rsidR="00251707" w:rsidRDefault="00251707"/>
  </w:footnote>
  <w:footnote w:id="2">
    <w:p w14:paraId="10C50332" w14:textId="77777777" w:rsidR="00A64902" w:rsidRDefault="00A64902" w:rsidP="00A64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D66">
        <w:rPr>
          <w:sz w:val="16"/>
        </w:rPr>
        <w:t xml:space="preserve">zapis zostanie właściwie dostosowany </w:t>
      </w:r>
      <w:r w:rsidRPr="00DC6819">
        <w:rPr>
          <w:sz w:val="16"/>
        </w:rPr>
        <w:t>przed</w:t>
      </w:r>
      <w:r w:rsidRPr="00511D66">
        <w:rPr>
          <w:sz w:val="16"/>
        </w:rPr>
        <w:t xml:space="preserve"> zawarciem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2C8C" w14:textId="77777777" w:rsidR="00857979" w:rsidRDefault="00EB620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1" behindDoc="0" locked="0" layoutInCell="1" allowOverlap="1" wp14:anchorId="69C1B14F" wp14:editId="46BC0F85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6" name="Obraz 6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CD29" w14:textId="77777777" w:rsidR="00857979" w:rsidRDefault="00DB4A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2541BF4F" wp14:editId="66550FCA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9" name="Obraz 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777"/>
    <w:multiLevelType w:val="hybridMultilevel"/>
    <w:tmpl w:val="BD6C6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63883"/>
    <w:multiLevelType w:val="hybridMultilevel"/>
    <w:tmpl w:val="29065246"/>
    <w:lvl w:ilvl="0" w:tplc="C98446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44211"/>
    <w:multiLevelType w:val="hybridMultilevel"/>
    <w:tmpl w:val="B4F4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142"/>
    <w:multiLevelType w:val="multilevel"/>
    <w:tmpl w:val="0346F064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/>
      </w:rPr>
    </w:lvl>
  </w:abstractNum>
  <w:abstractNum w:abstractNumId="4" w15:restartNumberingAfterBreak="0">
    <w:nsid w:val="202601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6387D"/>
    <w:multiLevelType w:val="hybridMultilevel"/>
    <w:tmpl w:val="2E8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976E4"/>
    <w:multiLevelType w:val="multilevel"/>
    <w:tmpl w:val="C1A2FC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52172"/>
    <w:multiLevelType w:val="hybridMultilevel"/>
    <w:tmpl w:val="ED0E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71982"/>
    <w:multiLevelType w:val="multilevel"/>
    <w:tmpl w:val="FB465AD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lang w:val="x-none"/>
      </w:rPr>
    </w:lvl>
    <w:lvl w:ilvl="1">
      <w:start w:val="1"/>
      <w:numFmt w:val="decimal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5730F74"/>
    <w:multiLevelType w:val="multilevel"/>
    <w:tmpl w:val="F724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4A9E"/>
    <w:multiLevelType w:val="hybridMultilevel"/>
    <w:tmpl w:val="E60AA8AC"/>
    <w:lvl w:ilvl="0" w:tplc="755E3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E8D8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0D4F"/>
    <w:multiLevelType w:val="multilevel"/>
    <w:tmpl w:val="DDCA3BE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672015EB"/>
    <w:multiLevelType w:val="hybridMultilevel"/>
    <w:tmpl w:val="F9FAAB90"/>
    <w:lvl w:ilvl="0" w:tplc="8122561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06CFC"/>
    <w:multiLevelType w:val="multilevel"/>
    <w:tmpl w:val="A426C4B0"/>
    <w:lvl w:ilvl="0">
      <w:start w:val="3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4"/>
      <w:numFmt w:val="decimal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78217F0"/>
    <w:multiLevelType w:val="hybridMultilevel"/>
    <w:tmpl w:val="899ED44E"/>
    <w:lvl w:ilvl="0" w:tplc="3C722F5E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411554"/>
    <w:multiLevelType w:val="multilevel"/>
    <w:tmpl w:val="60B0CDC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79E22EEB"/>
    <w:multiLevelType w:val="hybridMultilevel"/>
    <w:tmpl w:val="166EE6A2"/>
    <w:lvl w:ilvl="0" w:tplc="9476F2C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7B246971"/>
    <w:multiLevelType w:val="multilevel"/>
    <w:tmpl w:val="2C147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6158807">
    <w:abstractNumId w:val="2"/>
  </w:num>
  <w:num w:numId="2" w16cid:durableId="1552303042">
    <w:abstractNumId w:val="17"/>
  </w:num>
  <w:num w:numId="3" w16cid:durableId="317734147">
    <w:abstractNumId w:val="18"/>
  </w:num>
  <w:num w:numId="4" w16cid:durableId="1203131482">
    <w:abstractNumId w:val="9"/>
  </w:num>
  <w:num w:numId="5" w16cid:durableId="82532237">
    <w:abstractNumId w:val="0"/>
  </w:num>
  <w:num w:numId="6" w16cid:durableId="559679431">
    <w:abstractNumId w:val="5"/>
  </w:num>
  <w:num w:numId="7" w16cid:durableId="451364593">
    <w:abstractNumId w:val="7"/>
  </w:num>
  <w:num w:numId="8" w16cid:durableId="1777212923">
    <w:abstractNumId w:val="13"/>
  </w:num>
  <w:num w:numId="9" w16cid:durableId="478116307">
    <w:abstractNumId w:val="4"/>
  </w:num>
  <w:num w:numId="10" w16cid:durableId="1716077939">
    <w:abstractNumId w:val="11"/>
  </w:num>
  <w:num w:numId="11" w16cid:durableId="936059415">
    <w:abstractNumId w:val="12"/>
  </w:num>
  <w:num w:numId="12" w16cid:durableId="1954554152">
    <w:abstractNumId w:val="3"/>
  </w:num>
  <w:num w:numId="13" w16cid:durableId="1025442168">
    <w:abstractNumId w:val="16"/>
  </w:num>
  <w:num w:numId="14" w16cid:durableId="343745108">
    <w:abstractNumId w:val="8"/>
  </w:num>
  <w:num w:numId="15" w16cid:durableId="734813332">
    <w:abstractNumId w:val="14"/>
  </w:num>
  <w:num w:numId="16" w16cid:durableId="1850876412">
    <w:abstractNumId w:val="6"/>
  </w:num>
  <w:num w:numId="17" w16cid:durableId="95568038">
    <w:abstractNumId w:val="1"/>
  </w:num>
  <w:num w:numId="18" w16cid:durableId="1487893912">
    <w:abstractNumId w:val="10"/>
  </w:num>
  <w:num w:numId="19" w16cid:durableId="642079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25251"/>
    <w:rsid w:val="00040774"/>
    <w:rsid w:val="00051CC1"/>
    <w:rsid w:val="000553C0"/>
    <w:rsid w:val="000802EE"/>
    <w:rsid w:val="000A7F88"/>
    <w:rsid w:val="0014423A"/>
    <w:rsid w:val="00156722"/>
    <w:rsid w:val="00181CC1"/>
    <w:rsid w:val="00182C3B"/>
    <w:rsid w:val="00194F50"/>
    <w:rsid w:val="001B5C47"/>
    <w:rsid w:val="001C5A8C"/>
    <w:rsid w:val="001E71B4"/>
    <w:rsid w:val="00200A63"/>
    <w:rsid w:val="00205E32"/>
    <w:rsid w:val="00247D14"/>
    <w:rsid w:val="00251707"/>
    <w:rsid w:val="00263E64"/>
    <w:rsid w:val="00292626"/>
    <w:rsid w:val="002D23E3"/>
    <w:rsid w:val="00302685"/>
    <w:rsid w:val="00305BEB"/>
    <w:rsid w:val="00313938"/>
    <w:rsid w:val="00322F15"/>
    <w:rsid w:val="00345D05"/>
    <w:rsid w:val="00355958"/>
    <w:rsid w:val="00367BF4"/>
    <w:rsid w:val="003B23B4"/>
    <w:rsid w:val="003F5861"/>
    <w:rsid w:val="0044249E"/>
    <w:rsid w:val="004D7364"/>
    <w:rsid w:val="004D7CF0"/>
    <w:rsid w:val="00530D7A"/>
    <w:rsid w:val="00534CD6"/>
    <w:rsid w:val="005366C8"/>
    <w:rsid w:val="00544751"/>
    <w:rsid w:val="005541FB"/>
    <w:rsid w:val="00557405"/>
    <w:rsid w:val="0057357E"/>
    <w:rsid w:val="005811F2"/>
    <w:rsid w:val="005832EF"/>
    <w:rsid w:val="005B0D6D"/>
    <w:rsid w:val="00605F20"/>
    <w:rsid w:val="00642D3C"/>
    <w:rsid w:val="00667178"/>
    <w:rsid w:val="006F7852"/>
    <w:rsid w:val="00730CD4"/>
    <w:rsid w:val="00744F1B"/>
    <w:rsid w:val="00764584"/>
    <w:rsid w:val="00773F3B"/>
    <w:rsid w:val="00786F7B"/>
    <w:rsid w:val="007901D7"/>
    <w:rsid w:val="007D10E5"/>
    <w:rsid w:val="007D12E9"/>
    <w:rsid w:val="007E356B"/>
    <w:rsid w:val="0080349A"/>
    <w:rsid w:val="0083312A"/>
    <w:rsid w:val="00851BB0"/>
    <w:rsid w:val="00857979"/>
    <w:rsid w:val="00876645"/>
    <w:rsid w:val="008A3E6A"/>
    <w:rsid w:val="008A6D04"/>
    <w:rsid w:val="008C4149"/>
    <w:rsid w:val="008F0454"/>
    <w:rsid w:val="00900A32"/>
    <w:rsid w:val="00912777"/>
    <w:rsid w:val="00940F70"/>
    <w:rsid w:val="00942754"/>
    <w:rsid w:val="009471DF"/>
    <w:rsid w:val="00971151"/>
    <w:rsid w:val="0098343E"/>
    <w:rsid w:val="009854D4"/>
    <w:rsid w:val="009C470E"/>
    <w:rsid w:val="00A0185D"/>
    <w:rsid w:val="00A3726F"/>
    <w:rsid w:val="00A47BCB"/>
    <w:rsid w:val="00A64902"/>
    <w:rsid w:val="00A82D14"/>
    <w:rsid w:val="00AB756A"/>
    <w:rsid w:val="00AC5139"/>
    <w:rsid w:val="00AD3E9B"/>
    <w:rsid w:val="00AE35B1"/>
    <w:rsid w:val="00AE3FDC"/>
    <w:rsid w:val="00B17722"/>
    <w:rsid w:val="00B27DAE"/>
    <w:rsid w:val="00B53D58"/>
    <w:rsid w:val="00B64C41"/>
    <w:rsid w:val="00B70CA6"/>
    <w:rsid w:val="00B71822"/>
    <w:rsid w:val="00B91F8C"/>
    <w:rsid w:val="00BC74D4"/>
    <w:rsid w:val="00C156F5"/>
    <w:rsid w:val="00C54485"/>
    <w:rsid w:val="00C600B7"/>
    <w:rsid w:val="00C6152F"/>
    <w:rsid w:val="00CD3E18"/>
    <w:rsid w:val="00CD6CEC"/>
    <w:rsid w:val="00D1752F"/>
    <w:rsid w:val="00D222CD"/>
    <w:rsid w:val="00D24E0B"/>
    <w:rsid w:val="00D6197B"/>
    <w:rsid w:val="00D6755F"/>
    <w:rsid w:val="00D71BFA"/>
    <w:rsid w:val="00D777BE"/>
    <w:rsid w:val="00D83142"/>
    <w:rsid w:val="00DA51BD"/>
    <w:rsid w:val="00DA597B"/>
    <w:rsid w:val="00DA6249"/>
    <w:rsid w:val="00DB4371"/>
    <w:rsid w:val="00DB4A46"/>
    <w:rsid w:val="00DC57E2"/>
    <w:rsid w:val="00DD086E"/>
    <w:rsid w:val="00DE0F29"/>
    <w:rsid w:val="00E457A7"/>
    <w:rsid w:val="00E56D08"/>
    <w:rsid w:val="00E948CC"/>
    <w:rsid w:val="00EA3D3F"/>
    <w:rsid w:val="00EB6202"/>
    <w:rsid w:val="00EC5CEF"/>
    <w:rsid w:val="00ED6138"/>
    <w:rsid w:val="00ED7D89"/>
    <w:rsid w:val="00F453C9"/>
    <w:rsid w:val="00F7759A"/>
    <w:rsid w:val="00F8779A"/>
    <w:rsid w:val="00F936D4"/>
    <w:rsid w:val="00F97CEE"/>
    <w:rsid w:val="00FA3D1B"/>
    <w:rsid w:val="00FD781C"/>
    <w:rsid w:val="00FE1A7C"/>
    <w:rsid w:val="08D71606"/>
    <w:rsid w:val="2AB32CDF"/>
    <w:rsid w:val="33048DD7"/>
    <w:rsid w:val="35B383A5"/>
    <w:rsid w:val="48207EDA"/>
    <w:rsid w:val="4F59E6A9"/>
    <w:rsid w:val="52EC1430"/>
    <w:rsid w:val="534D8CB1"/>
    <w:rsid w:val="592327FD"/>
    <w:rsid w:val="6293EB0D"/>
    <w:rsid w:val="636E6352"/>
    <w:rsid w:val="6B927C88"/>
    <w:rsid w:val="6E5844F8"/>
    <w:rsid w:val="70656EA6"/>
    <w:rsid w:val="723FE0AE"/>
    <w:rsid w:val="7AA3E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B7EA"/>
  <w15:docId w15:val="{ED891346-CE68-40E8-B30D-55B4D1F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57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maz_wyliczenie"/>
    <w:basedOn w:val="Normalny"/>
    <w:link w:val="AkapitzlistZnak"/>
    <w:uiPriority w:val="34"/>
    <w:qFormat/>
    <w:rsid w:val="0057357E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34"/>
    <w:qFormat/>
    <w:rsid w:val="0057357E"/>
    <w:rPr>
      <w:rFonts w:ascii="Calibri" w:eastAsia="Times New Roman" w:hAnsi="Calibri" w:cs="Times New Roman"/>
      <w:sz w:val="24"/>
      <w:szCs w:val="24"/>
      <w:lang w:bidi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57E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57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57357E"/>
    <w:rPr>
      <w:vertAlign w:val="superscript"/>
    </w:rPr>
  </w:style>
  <w:style w:type="table" w:styleId="Tabela-Siatka">
    <w:name w:val="Table Grid"/>
    <w:basedOn w:val="Standardowy"/>
    <w:uiPriority w:val="39"/>
    <w:rsid w:val="00B7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59A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9A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F936D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42D3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lista">
    <w:name w:val="lista"/>
    <w:basedOn w:val="Akapitzlist"/>
    <w:qFormat/>
    <w:rsid w:val="00A64902"/>
    <w:pPr>
      <w:widowControl w:val="0"/>
      <w:spacing w:line="360" w:lineRule="auto"/>
      <w:ind w:left="0"/>
    </w:pPr>
    <w:rPr>
      <w:rFonts w:ascii="Times New Roman" w:hAnsi="Times New Roman"/>
      <w:sz w:val="22"/>
      <w:szCs w:val="22"/>
      <w:lang w:val="x-none" w:eastAsia="x-none" w:bidi="ar-SA"/>
    </w:rPr>
  </w:style>
  <w:style w:type="paragraph" w:customStyle="1" w:styleId="StandardowyStandardowy1">
    <w:name w:val="Standardowy.Standardowy1"/>
    <w:uiPriority w:val="99"/>
    <w:rsid w:val="00A649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opi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erenc@dbfozoliborz.wa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4692-E3BC-403B-9233-F87CC58E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1800</Words>
  <Characters>10800</Characters>
  <Application>Microsoft Office Word</Application>
  <DocSecurity>0</DocSecurity>
  <Lines>90</Lines>
  <Paragraphs>25</Paragraphs>
  <ScaleCrop>false</ScaleCrop>
  <Company>Microsoft</Company>
  <LinksUpToDate>false</LinksUpToDate>
  <CharactersWithSpaces>12575</CharactersWithSpaces>
  <SharedDoc>false</SharedDoc>
  <HLinks>
    <vt:vector size="18" baseType="variant">
      <vt:variant>
        <vt:i4>1114215</vt:i4>
      </vt:variant>
      <vt:variant>
        <vt:i4>6</vt:i4>
      </vt:variant>
      <vt:variant>
        <vt:i4>0</vt:i4>
      </vt:variant>
      <vt:variant>
        <vt:i4>5</vt:i4>
      </vt:variant>
      <vt:variant>
        <vt:lpwstr>mailto:iod@opi.org.pl</vt:lpwstr>
      </vt:variant>
      <vt:variant>
        <vt:lpwstr/>
      </vt:variant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mailto:bferenc@dbfozoliborz.waw.pl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mailto:faktury@opi.org.pl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cp:lastModifiedBy>Dorota Szczycińska</cp:lastModifiedBy>
  <cp:revision>15</cp:revision>
  <dcterms:created xsi:type="dcterms:W3CDTF">2023-02-01T19:27:00Z</dcterms:created>
  <dcterms:modified xsi:type="dcterms:W3CDTF">2023-02-06T11:26:00Z</dcterms:modified>
</cp:coreProperties>
</file>